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31/10/2014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beneficio neto de Indra se sitúa en 78 M€ en los nueve primeros meses de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los nueve primeros meses de 2014, la evolución de la actividad de Indra se ha visto influida por: el inicio de la recuperación del negocio en el mercado español (+2% en el tercer trimestre estanco); la buena evolución de la región Asia, Oriente Medio y África (AMEA), que crece un 13% en moneda local; y la desfavorable evolución del entorno macroeconómico en Latinoamérica (sobre todo en Brasil), que ha implicado que continúe la ralentización en el ritmo de crecimiento en la zona.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depreciaciones en los tipos de cambios de las divisas han afectado aunque en menor medida que en el primer semestre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todo, las ventas totales alcanzan 2.086 M€, lo que representa un aumento del 3% en moneda local y un ligero descenso del 2% en términos reportados (en euros) sobre el mismo periodo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áreas geográficas, la evolución de las ventas acumuladas en el periodo ha sido distinta. España (que representa el 38% del total) ha descendido el 6%, si bien se espera para el último trimestre del año que el mercado español continúe la positiva evolución, acumulando dos trimestres consecutivos de crecimiento a medida que se consolide la mejora macroeconómica en España y en la eurozona. AMEA ha registrado un aumento del 13% en moneda local (11%, reportado), evolución aún más destacable teniendo en cuenta la finalización de algunos proyectos relevantes en el primer semestre; Europa y Norteamérica ha crecido un 7% en moneda local (6%, reportado); Latinoamérica ha subido un 9% en moneda local (un descenso del 5%, reportado).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mercados verticales, y en moneda local, Administraciones Públicas y Sanidad ha crecido un 12%; Transporte y Tráfico se ha incrementado un 9% y Servicios Financieros un 6%. Energía e Industria ha mostrado una evolución plana; y Seguridad y Defensa ha registrado una caída del 3%. En cuanto a Telecom y Media, con un descenso del 9%, refleja una mejora en el comportamiento durante este trimestre frente al de la primera mitad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resultado atribuible ha ascendido a 78 M€, lo que representa un aumento del 18% sobre el mismo periodo del año anterior por los menores gastos extraordinarios.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contratación se sitúa en 2.126 M€ y es un 2% superior a las ventas, en línea con el ratio del tercer trimestre de 2013. Destaca el crecimiento de la contratación en AMEA con un aumento del 43% reportado. En España, se mantiene una tasa positiva.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margen EBIT recurrente se ha situado en el 7,5%. Durante el tercer trimestre, ha continuado la ejecución del plan de adecuación y mejora de la eficiencia de los recursos centrado en España, habiéndose incurrido en un total de 16 M€ de gastos extraordinarios, si bien recoge la mayoría la ejecución del plan previsto para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Evolución prevista para 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último trimestre del año, se concentrará la generación de cash flow libre como así ha sucedido en ejercicios anteriores.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consecución del objetivo establecido para el conjunto del año de alcanzar un cash flow libre de 100 M€ contempla la facturación y cobro de determinados proyectos en México y Brasil, así como cobros asociados a otros contratos relevantes adjudicados en la última parte del año en proceso de formalización.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PRINCIPALES MAGNITUDES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siguiente tabla se detallan las principales magnitudes en el periodo: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9M14 	(M€)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9M13	(M€)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(Variación%)	Reportado / Mon. Local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Contratación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2.126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2.177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(2) / 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Ventas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2.086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2.123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(2) / 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Cartera de pedidos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3.436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3.448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(0)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Resultado Operativo (EBIT) recurrente (1)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156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167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(7)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Margen EBIT recurrente (1)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7,5%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7,9%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(0,4) pp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Costes extraordinarios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(16)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(27)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(41)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Resultado Operativo (EBIT)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140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140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Margen EBIT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6,7%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6,6%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0,1 pp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Resultado Neto recurrente (1)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91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87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Resultado Neto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78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67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Deuda neta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726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707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Flujo de caja libre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0(2)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  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(1) Antes de gastos extraordinarios	(2) El FCL ajustado por el impacto de la desinversión de los Rama de actividad de gestión avanzada de documentación digital fue de -24 M€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Indra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https://www.notasdeprensa.es/el-beneficio-neto-de-indra-se-situa-en-78-m-en_1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