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Indra alcanza 60 M€ en el primer semestre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segundo semestre 2014, la evolución de la actividad de Indra se ha desarrollado dentro de las previsiones del comienzo del ejercicio.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registrado una ligera mejora de la actividad en España en el segundo trimestre frente al primero que se espera se confirme en la segunda parte del año en base a la mejoría mostrada por los  indicadores macroeconómicos recientemente publicados. En general, continúa la fuerte actividad en el resto de las geografías, aunque con importantes depreciaciones en los tipos de cambios de las divisas. El efecto comparativo con el año pasado de esta evolución de las divisas, sobre todo latinoamericanas, ha restado 18 puntos al crecimiento de la región.</w:t>
            </w:r>
          </w:p>
          <w:p>
            <w:pPr>
              <w:ind w:left="-284" w:right="-427"/>
              <w:jc w:val="both"/>
              <w:rPr>
                <w:rFonts/>
                <w:color w:val="262626" w:themeColor="text1" w:themeTint="D9"/>
              </w:rPr>
            </w:pPr>
            <w:r>
              <w:t>	Las ventas totales han alcanzado 1.476 M€ lo que supone un ligero descenso del 1% en términos reportados (en euros) sobre el mismo periodo del año anterior  y, a tipos de cambio constantes (en moneda local), un crecimiento del 5%.</w:t>
            </w:r>
          </w:p>
          <w:p>
            <w:pPr>
              <w:ind w:left="-284" w:right="-427"/>
              <w:jc w:val="both"/>
              <w:rPr>
                <w:rFonts/>
                <w:color w:val="262626" w:themeColor="text1" w:themeTint="D9"/>
              </w:rPr>
            </w:pPr>
            <w:r>
              <w:t>	El comportamiento de la compañía por áreas geográficas continúa siendo positivo, con excepción del mercado español (que representa el 39% del total), donde las ventas caen el 9%. Aunque para el conjunto del ejercicio se mantiene la expectativa de un descenso de las ventas en España, se prevé que su comportamiento mejorará en la segunda mitad del año. AMEA ha tenido una buena evolución, con crecimiento del 22% en moneda local (18%, reportado); Europa y Norteamérica ha aumentado un 11% en moneda local (10%, reportado); Latinoamérica ha aumentado un 14% en moneda local (descenso del 4%, reportado).</w:t>
            </w:r>
          </w:p>
          <w:p>
            <w:pPr>
              <w:ind w:left="-284" w:right="-427"/>
              <w:jc w:val="both"/>
              <w:rPr>
                <w:rFonts/>
                <w:color w:val="262626" w:themeColor="text1" w:themeTint="D9"/>
              </w:rPr>
            </w:pPr>
            <w:r>
              <w:t>	Por mercados verticales, y en moneda local, Administraciones Públicas y Sanidad ha crecido un 25%; Transporte y Tráfico ha aumentado un 10% y Servicios Financieros un 6%. Seguridad y Defensa ha tenido una evolución plana, mientras que la actividad en Energía e Industria, con una caída del 3%, y de Telecom y Media, con un descenso del 13%, reflejan la difícil situación de estos mercados, principalmente en España, aunque se espera mejoren durante la segunda parte del año.</w:t>
            </w:r>
          </w:p>
          <w:p>
            <w:pPr>
              <w:ind w:left="-284" w:right="-427"/>
              <w:jc w:val="both"/>
              <w:rPr>
                <w:rFonts/>
                <w:color w:val="262626" w:themeColor="text1" w:themeTint="D9"/>
              </w:rPr>
            </w:pPr>
            <w:r>
              <w:t>	El Resultado Atribuible ha ascendido a 60 M€, lo que supone un aumento del 27% sobre el mismo periodo de 2013 en buena parte por los menores gastos extraordinarios.</w:t>
            </w:r>
          </w:p>
          <w:p>
            <w:pPr>
              <w:ind w:left="-284" w:right="-427"/>
              <w:jc w:val="both"/>
              <w:rPr>
                <w:rFonts/>
                <w:color w:val="262626" w:themeColor="text1" w:themeTint="D9"/>
              </w:rPr>
            </w:pPr>
            <w:r>
              <w:t>	La contratación se sitúa en 1.647 M€ y es un 12% superior a las ventas, en línea con el primer semestre de 2013. Destaca la contratación en España que acelera su crecimiento (3% en el primer semestre de 2014 frente a una caída del 15% en el mismo periodo del año anterior). La contratación en el resto de geografías sigue siendo relevante (sobre todo en AMEA y Latinoamérica, con tasas de doble dígito).</w:t>
            </w:r>
          </w:p>
          <w:p>
            <w:pPr>
              <w:ind w:left="-284" w:right="-427"/>
              <w:jc w:val="both"/>
              <w:rPr>
                <w:rFonts/>
                <w:color w:val="262626" w:themeColor="text1" w:themeTint="D9"/>
              </w:rPr>
            </w:pPr>
            <w:r>
              <w:t>	El Margen EBIT recurrente se ha situado en el 7,7%. Durante el segundo trimestre, se ha continuado la ejecución del plan de adecuación y mejora de la eficiencia de los recursos en España, habiéndose incurrido en un total de 12 M€ de gastos extraordinarios al final del primer semestre que recoge el grueso de la ejecución del plan previsto para 2014. El resultado neto alcanzó 60M€, un 27% superior al primer semestre 2013.</w:t>
            </w:r>
          </w:p>
          <w:p>
            <w:pPr>
              <w:ind w:left="-284" w:right="-427"/>
              <w:jc w:val="both"/>
              <w:rPr>
                <w:rFonts/>
                <w:color w:val="262626" w:themeColor="text1" w:themeTint="D9"/>
              </w:rPr>
            </w:pPr>
            <w:r>
              <w:t>	Dividendo de 0,34 € por acción, un pay out del 48%</w:t>
            </w:r>
          </w:p>
          <w:p>
            <w:pPr>
              <w:ind w:left="-284" w:right="-427"/>
              <w:jc w:val="both"/>
              <w:rPr>
                <w:rFonts/>
                <w:color w:val="262626" w:themeColor="text1" w:themeTint="D9"/>
              </w:rPr>
            </w:pPr>
            <w:r>
              <w:t>	A propuesta del Consejo de Administración, el pasado mes de junio la Junta General a acordó el pago de un dividendo ordinario de 0,34€ por acción con cargo a los resultados 2013 -equivalente a un pay out del 48% y a una rentabilidad por dividendo del 2,8% sobre el precio de cierre del año 2013 (12,155 euros)-. El pago se ha hecho efectivo a principios del mes de julio.</w:t>
            </w:r>
          </w:p>
          <w:p>
            <w:pPr>
              <w:ind w:left="-284" w:right="-427"/>
              <w:jc w:val="both"/>
              <w:rPr>
                <w:rFonts/>
                <w:color w:val="262626" w:themeColor="text1" w:themeTint="D9"/>
              </w:rPr>
            </w:pPr>
            <w:r>
              <w:t>	Evolución prevista para 2014</w:t>
            </w:r>
          </w:p>
          <w:p>
            <w:pPr>
              <w:ind w:left="-284" w:right="-427"/>
              <w:jc w:val="both"/>
              <w:rPr>
                <w:rFonts/>
                <w:color w:val="262626" w:themeColor="text1" w:themeTint="D9"/>
              </w:rPr>
            </w:pPr>
            <w:r>
              <w:t>	La esperada evolución del capital circulante neto y de los demás factores que determinan la generación de recursos permiten a la compañía confiar en alcanzar el objetivo de generar un cash flow libre superior a 100 M€ en 2014, sentando las bases para continuar con su mejora progresiva en los próximos ejercicios.	 </w:t>
            </w:r>
          </w:p>
          <w:p>
            <w:pPr>
              <w:ind w:left="-284" w:right="-427"/>
              <w:jc w:val="both"/>
              <w:rPr>
                <w:rFonts/>
                <w:color w:val="262626" w:themeColor="text1" w:themeTint="D9"/>
              </w:rPr>
            </w:pPr>
            <w:r>
              <w:t>	PRINCIPALES MAGNITUDES</w:t>
            </w:r>
          </w:p>
          <w:p>
            <w:pPr>
              <w:ind w:left="-284" w:right="-427"/>
              <w:jc w:val="both"/>
              <w:rPr>
                <w:rFonts/>
                <w:color w:val="262626" w:themeColor="text1" w:themeTint="D9"/>
              </w:rPr>
            </w:pPr>
            <w:r>
              <w:t>	En la siguiente tabla se detallan las principales magnitudes en el periodo:</w:t>
            </w:r>
          </w:p>
          <w:p>
            <w:pPr>
              <w:ind w:left="-284" w:right="-427"/>
              <w:jc w:val="both"/>
              <w:rPr>
                <w:rFonts/>
                <w:color w:val="262626" w:themeColor="text1" w:themeTint="D9"/>
              </w:rPr>
            </w:pPr>
            <w:r>
              <w:t>	INDRA </w:t>
            </w:r>
          </w:p>
          <w:p>
            <w:pPr>
              <w:ind w:left="-284" w:right="-427"/>
              <w:jc w:val="both"/>
              <w:rPr>
                <w:rFonts/>
                <w:color w:val="262626" w:themeColor="text1" w:themeTint="D9"/>
              </w:rPr>
            </w:pPr>
            <w:r>
              <w:t>	1S14 (M€) </w:t>
            </w:r>
          </w:p>
          <w:p>
            <w:pPr>
              <w:ind w:left="-284" w:right="-427"/>
              <w:jc w:val="both"/>
              <w:rPr>
                <w:rFonts/>
                <w:color w:val="262626" w:themeColor="text1" w:themeTint="D9"/>
              </w:rPr>
            </w:pPr>
            <w:r>
              <w:t>	1S13(M€) </w:t>
            </w:r>
          </w:p>
          <w:p>
            <w:pPr>
              <w:ind w:left="-284" w:right="-427"/>
              <w:jc w:val="both"/>
              <w:rPr>
                <w:rFonts/>
                <w:color w:val="262626" w:themeColor="text1" w:themeTint="D9"/>
              </w:rPr>
            </w:pPr>
            <w:r>
              <w:t>	(Variación%)</w:t>
            </w:r>
          </w:p>
          <w:p>
            <w:pPr>
              <w:ind w:left="-284" w:right="-427"/>
              <w:jc w:val="both"/>
              <w:rPr>
                <w:rFonts/>
                <w:color w:val="262626" w:themeColor="text1" w:themeTint="D9"/>
              </w:rPr>
            </w:pPr>
            <w:r>
              <w:t>	Contratación</w:t>
            </w:r>
          </w:p>
          <w:p>
            <w:pPr>
              <w:ind w:left="-284" w:right="-427"/>
              <w:jc w:val="both"/>
              <w:rPr>
                <w:rFonts/>
                <w:color w:val="262626" w:themeColor="text1" w:themeTint="D9"/>
              </w:rPr>
            </w:pPr>
            <w:r>
              <w:t>	1.647</w:t>
            </w:r>
          </w:p>
          <w:p>
            <w:pPr>
              <w:ind w:left="-284" w:right="-427"/>
              <w:jc w:val="both"/>
              <w:rPr>
                <w:rFonts/>
                <w:color w:val="262626" w:themeColor="text1" w:themeTint="D9"/>
              </w:rPr>
            </w:pPr>
            <w:r>
              <w:t>	1.671</w:t>
            </w:r>
          </w:p>
          <w:p>
            <w:pPr>
              <w:ind w:left="-284" w:right="-427"/>
              <w:jc w:val="both"/>
              <w:rPr>
                <w:rFonts/>
                <w:color w:val="262626" w:themeColor="text1" w:themeTint="D9"/>
              </w:rPr>
            </w:pPr>
            <w:r>
              <w:t>	  (1) / 6</w:t>
            </w:r>
          </w:p>
          <w:p>
            <w:pPr>
              <w:ind w:left="-284" w:right="-427"/>
              <w:jc w:val="both"/>
              <w:rPr>
                <w:rFonts/>
                <w:color w:val="262626" w:themeColor="text1" w:themeTint="D9"/>
              </w:rPr>
            </w:pPr>
            <w:r>
              <w:t>	Ventas</w:t>
            </w:r>
          </w:p>
          <w:p>
            <w:pPr>
              <w:ind w:left="-284" w:right="-427"/>
              <w:jc w:val="both"/>
              <w:rPr>
                <w:rFonts/>
                <w:color w:val="262626" w:themeColor="text1" w:themeTint="D9"/>
              </w:rPr>
            </w:pPr>
            <w:r>
              <w:t>	1.476</w:t>
            </w:r>
          </w:p>
          <w:p>
            <w:pPr>
              <w:ind w:left="-284" w:right="-427"/>
              <w:jc w:val="both"/>
              <w:rPr>
                <w:rFonts/>
                <w:color w:val="262626" w:themeColor="text1" w:themeTint="D9"/>
              </w:rPr>
            </w:pPr>
            <w:r>
              <w:t>	1.490</w:t>
            </w:r>
          </w:p>
          <w:p>
            <w:pPr>
              <w:ind w:left="-284" w:right="-427"/>
              <w:jc w:val="both"/>
              <w:rPr>
                <w:rFonts/>
                <w:color w:val="262626" w:themeColor="text1" w:themeTint="D9"/>
              </w:rPr>
            </w:pPr>
            <w:r>
              <w:t>	(1) / 5</w:t>
            </w:r>
          </w:p>
          <w:p>
            <w:pPr>
              <w:ind w:left="-284" w:right="-427"/>
              <w:jc w:val="both"/>
              <w:rPr>
                <w:rFonts/>
                <w:color w:val="262626" w:themeColor="text1" w:themeTint="D9"/>
              </w:rPr>
            </w:pPr>
            <w:r>
              <w:t>	Cartera de pedidos</w:t>
            </w:r>
          </w:p>
          <w:p>
            <w:pPr>
              <w:ind w:left="-284" w:right="-427"/>
              <w:jc w:val="both"/>
              <w:rPr>
                <w:rFonts/>
                <w:color w:val="262626" w:themeColor="text1" w:themeTint="D9"/>
              </w:rPr>
            </w:pPr>
            <w:r>
              <w:t>	3.560</w:t>
            </w:r>
          </w:p>
          <w:p>
            <w:pPr>
              <w:ind w:left="-284" w:right="-427"/>
              <w:jc w:val="both"/>
              <w:rPr>
                <w:rFonts/>
                <w:color w:val="262626" w:themeColor="text1" w:themeTint="D9"/>
              </w:rPr>
            </w:pPr>
            <w:r>
              <w:t>	3.608</w:t>
            </w:r>
          </w:p>
          <w:p>
            <w:pPr>
              <w:ind w:left="-284" w:right="-427"/>
              <w:jc w:val="both"/>
              <w:rPr>
                <w:rFonts/>
                <w:color w:val="262626" w:themeColor="text1" w:themeTint="D9"/>
              </w:rPr>
            </w:pPr>
            <w:r>
              <w:t>	(1)</w:t>
            </w:r>
          </w:p>
          <w:p>
            <w:pPr>
              <w:ind w:left="-284" w:right="-427"/>
              <w:jc w:val="both"/>
              <w:rPr>
                <w:rFonts/>
                <w:color w:val="262626" w:themeColor="text1" w:themeTint="D9"/>
              </w:rPr>
            </w:pPr>
            <w:r>
              <w:t>	Resultado Operativo (EBIT) recurrente (1)</w:t>
            </w:r>
          </w:p>
          <w:p>
            <w:pPr>
              <w:ind w:left="-284" w:right="-427"/>
              <w:jc w:val="both"/>
              <w:rPr>
                <w:rFonts/>
                <w:color w:val="262626" w:themeColor="text1" w:themeTint="D9"/>
              </w:rPr>
            </w:pPr>
            <w:r>
              <w:t>	113</w:t>
            </w:r>
          </w:p>
          <w:p>
            <w:pPr>
              <w:ind w:left="-284" w:right="-427"/>
              <w:jc w:val="both"/>
              <w:rPr>
                <w:rFonts/>
                <w:color w:val="262626" w:themeColor="text1" w:themeTint="D9"/>
              </w:rPr>
            </w:pPr>
            <w:r>
              <w:t>	118</w:t>
            </w:r>
          </w:p>
          <w:p>
            <w:pPr>
              <w:ind w:left="-284" w:right="-427"/>
              <w:jc w:val="both"/>
              <w:rPr>
                <w:rFonts/>
                <w:color w:val="262626" w:themeColor="text1" w:themeTint="D9"/>
              </w:rPr>
            </w:pPr>
            <w:r>
              <w:t>	(4)</w:t>
            </w:r>
          </w:p>
          <w:p>
            <w:pPr>
              <w:ind w:left="-284" w:right="-427"/>
              <w:jc w:val="both"/>
              <w:rPr>
                <w:rFonts/>
                <w:color w:val="262626" w:themeColor="text1" w:themeTint="D9"/>
              </w:rPr>
            </w:pPr>
            <w:r>
              <w:t>	Margen EBIT recurrente (1)</w:t>
            </w:r>
          </w:p>
          <w:p>
            <w:pPr>
              <w:ind w:left="-284" w:right="-427"/>
              <w:jc w:val="both"/>
              <w:rPr>
                <w:rFonts/>
                <w:color w:val="262626" w:themeColor="text1" w:themeTint="D9"/>
              </w:rPr>
            </w:pPr>
            <w:r>
              <w:t>	7,7%</w:t>
            </w:r>
          </w:p>
          <w:p>
            <w:pPr>
              <w:ind w:left="-284" w:right="-427"/>
              <w:jc w:val="both"/>
              <w:rPr>
                <w:rFonts/>
                <w:color w:val="262626" w:themeColor="text1" w:themeTint="D9"/>
              </w:rPr>
            </w:pPr>
            <w:r>
              <w:t>	7,9%</w:t>
            </w:r>
          </w:p>
          <w:p>
            <w:pPr>
              <w:ind w:left="-284" w:right="-427"/>
              <w:jc w:val="both"/>
              <w:rPr>
                <w:rFonts/>
                <w:color w:val="262626" w:themeColor="text1" w:themeTint="D9"/>
              </w:rPr>
            </w:pPr>
            <w:r>
              <w:t>	(0,2) pp</w:t>
            </w:r>
          </w:p>
          <w:p>
            <w:pPr>
              <w:ind w:left="-284" w:right="-427"/>
              <w:jc w:val="both"/>
              <w:rPr>
                <w:rFonts/>
                <w:color w:val="262626" w:themeColor="text1" w:themeTint="D9"/>
              </w:rPr>
            </w:pPr>
            <w:r>
              <w:t>	Costes extraordinarios</w:t>
            </w:r>
          </w:p>
          <w:p>
            <w:pPr>
              <w:ind w:left="-284" w:right="-427"/>
              <w:jc w:val="both"/>
              <w:rPr>
                <w:rFonts/>
                <w:color w:val="262626" w:themeColor="text1" w:themeTint="D9"/>
              </w:rPr>
            </w:pPr>
            <w:r>
              <w:t>	(12)</w:t>
            </w:r>
          </w:p>
          <w:p>
            <w:pPr>
              <w:ind w:left="-284" w:right="-427"/>
              <w:jc w:val="both"/>
              <w:rPr>
                <w:rFonts/>
                <w:color w:val="262626" w:themeColor="text1" w:themeTint="D9"/>
              </w:rPr>
            </w:pPr>
            <w:r>
              <w:t>	(21)</w:t>
            </w:r>
          </w:p>
          <w:p>
            <w:pPr>
              <w:ind w:left="-284" w:right="-427"/>
              <w:jc w:val="both"/>
              <w:rPr>
                <w:rFonts/>
                <w:color w:val="262626" w:themeColor="text1" w:themeTint="D9"/>
              </w:rPr>
            </w:pPr>
            <w:r>
              <w:t>	(43)</w:t>
            </w:r>
          </w:p>
          <w:p>
            <w:pPr>
              <w:ind w:left="-284" w:right="-427"/>
              <w:jc w:val="both"/>
              <w:rPr>
                <w:rFonts/>
                <w:color w:val="262626" w:themeColor="text1" w:themeTint="D9"/>
              </w:rPr>
            </w:pPr>
            <w:r>
              <w:t>	Resultado Operativo (EBIT)</w:t>
            </w:r>
          </w:p>
          <w:p>
            <w:pPr>
              <w:ind w:left="-284" w:right="-427"/>
              <w:jc w:val="both"/>
              <w:rPr>
                <w:rFonts/>
                <w:color w:val="262626" w:themeColor="text1" w:themeTint="D9"/>
              </w:rPr>
            </w:pPr>
            <w:r>
              <w:t>	101</w:t>
            </w:r>
          </w:p>
          <w:p>
            <w:pPr>
              <w:ind w:left="-284" w:right="-427"/>
              <w:jc w:val="both"/>
              <w:rPr>
                <w:rFonts/>
                <w:color w:val="262626" w:themeColor="text1" w:themeTint="D9"/>
              </w:rPr>
            </w:pPr>
            <w:r>
              <w:t>	97</w:t>
            </w:r>
          </w:p>
          <w:p>
            <w:pPr>
              <w:ind w:left="-284" w:right="-427"/>
              <w:jc w:val="both"/>
              <w:rPr>
                <w:rFonts/>
                <w:color w:val="262626" w:themeColor="text1" w:themeTint="D9"/>
              </w:rPr>
            </w:pPr>
            <w:r>
              <w:t>	5</w:t>
            </w:r>
          </w:p>
          <w:p>
            <w:pPr>
              <w:ind w:left="-284" w:right="-427"/>
              <w:jc w:val="both"/>
              <w:rPr>
                <w:rFonts/>
                <w:color w:val="262626" w:themeColor="text1" w:themeTint="D9"/>
              </w:rPr>
            </w:pPr>
            <w:r>
              <w:t>	Margen EBIT</w:t>
            </w:r>
          </w:p>
          <w:p>
            <w:pPr>
              <w:ind w:left="-284" w:right="-427"/>
              <w:jc w:val="both"/>
              <w:rPr>
                <w:rFonts/>
                <w:color w:val="262626" w:themeColor="text1" w:themeTint="D9"/>
              </w:rPr>
            </w:pPr>
            <w:r>
              <w:t>	6,9%</w:t>
            </w:r>
          </w:p>
          <w:p>
            <w:pPr>
              <w:ind w:left="-284" w:right="-427"/>
              <w:jc w:val="both"/>
              <w:rPr>
                <w:rFonts/>
                <w:color w:val="262626" w:themeColor="text1" w:themeTint="D9"/>
              </w:rPr>
            </w:pPr>
            <w:r>
              <w:t>	6.5%</w:t>
            </w:r>
          </w:p>
          <w:p>
            <w:pPr>
              <w:ind w:left="-284" w:right="-427"/>
              <w:jc w:val="both"/>
              <w:rPr>
                <w:rFonts/>
                <w:color w:val="262626" w:themeColor="text1" w:themeTint="D9"/>
              </w:rPr>
            </w:pPr>
            <w:r>
              <w:t>	0,4 pp</w:t>
            </w:r>
          </w:p>
          <w:p>
            <w:pPr>
              <w:ind w:left="-284" w:right="-427"/>
              <w:jc w:val="both"/>
              <w:rPr>
                <w:rFonts/>
                <w:color w:val="262626" w:themeColor="text1" w:themeTint="D9"/>
              </w:rPr>
            </w:pPr>
            <w:r>
              <w:t>	Resultado Neto recurrente (1)</w:t>
            </w:r>
          </w:p>
          <w:p>
            <w:pPr>
              <w:ind w:left="-284" w:right="-427"/>
              <w:jc w:val="both"/>
              <w:rPr>
                <w:rFonts/>
                <w:color w:val="262626" w:themeColor="text1" w:themeTint="D9"/>
              </w:rPr>
            </w:pPr>
            <w:r>
              <w:t>	69</w:t>
            </w:r>
          </w:p>
          <w:p>
            <w:pPr>
              <w:ind w:left="-284" w:right="-427"/>
              <w:jc w:val="both"/>
              <w:rPr>
                <w:rFonts/>
                <w:color w:val="262626" w:themeColor="text1" w:themeTint="D9"/>
              </w:rPr>
            </w:pPr>
            <w:r>
              <w:t>	64</w:t>
            </w:r>
          </w:p>
          <w:p>
            <w:pPr>
              <w:ind w:left="-284" w:right="-427"/>
              <w:jc w:val="both"/>
              <w:rPr>
                <w:rFonts/>
                <w:color w:val="262626" w:themeColor="text1" w:themeTint="D9"/>
              </w:rPr>
            </w:pPr>
            <w:r>
              <w:t>	9</w:t>
            </w:r>
          </w:p>
          <w:p>
            <w:pPr>
              <w:ind w:left="-284" w:right="-427"/>
              <w:jc w:val="both"/>
              <w:rPr>
                <w:rFonts/>
                <w:color w:val="262626" w:themeColor="text1" w:themeTint="D9"/>
              </w:rPr>
            </w:pPr>
            <w:r>
              <w:t>	Resultado Neto</w:t>
            </w:r>
          </w:p>
          <w:p>
            <w:pPr>
              <w:ind w:left="-284" w:right="-427"/>
              <w:jc w:val="both"/>
              <w:rPr>
                <w:rFonts/>
                <w:color w:val="262626" w:themeColor="text1" w:themeTint="D9"/>
              </w:rPr>
            </w:pPr>
            <w:r>
              <w:t>	60</w:t>
            </w:r>
          </w:p>
          <w:p>
            <w:pPr>
              <w:ind w:left="-284" w:right="-427"/>
              <w:jc w:val="both"/>
              <w:rPr>
                <w:rFonts/>
                <w:color w:val="262626" w:themeColor="text1" w:themeTint="D9"/>
              </w:rPr>
            </w:pPr>
            <w:r>
              <w:t>	48</w:t>
            </w:r>
          </w:p>
          <w:p>
            <w:pPr>
              <w:ind w:left="-284" w:right="-427"/>
              <w:jc w:val="both"/>
              <w:rPr>
                <w:rFonts/>
                <w:color w:val="262626" w:themeColor="text1" w:themeTint="D9"/>
              </w:rPr>
            </w:pPr>
            <w:r>
              <w:t>	27</w:t>
            </w:r>
          </w:p>
          <w:p>
            <w:pPr>
              <w:ind w:left="-284" w:right="-427"/>
              <w:jc w:val="both"/>
              <w:rPr>
                <w:rFonts/>
                <w:color w:val="262626" w:themeColor="text1" w:themeTint="D9"/>
              </w:rPr>
            </w:pPr>
            <w:r>
              <w:t>	Deuda neta</w:t>
            </w:r>
          </w:p>
          <w:p>
            <w:pPr>
              <w:ind w:left="-284" w:right="-427"/>
              <w:jc w:val="both"/>
              <w:rPr>
                <w:rFonts/>
                <w:color w:val="262626" w:themeColor="text1" w:themeTint="D9"/>
              </w:rPr>
            </w:pPr>
            <w:r>
              <w:t>	652</w:t>
            </w:r>
          </w:p>
          <w:p>
            <w:pPr>
              <w:ind w:left="-284" w:right="-427"/>
              <w:jc w:val="both"/>
              <w:rPr>
                <w:rFonts/>
                <w:color w:val="262626" w:themeColor="text1" w:themeTint="D9"/>
              </w:rPr>
            </w:pPr>
            <w:r>
              <w:t>	649</w:t>
            </w:r>
          </w:p>
          <w:p>
            <w:pPr>
              <w:ind w:left="-284" w:right="-427"/>
              <w:jc w:val="both"/>
              <w:rPr>
                <w:rFonts/>
                <w:color w:val="262626" w:themeColor="text1" w:themeTint="D9"/>
              </w:rPr>
            </w:pPr>
            <w:r>
              <w:t>	1</w:t>
            </w:r>
          </w:p>
          <w:p>
            <w:pPr>
              <w:ind w:left="-284" w:right="-427"/>
              <w:jc w:val="both"/>
              <w:rPr>
                <w:rFonts/>
                <w:color w:val="262626" w:themeColor="text1" w:themeTint="D9"/>
              </w:rPr>
            </w:pPr>
            <w:r>
              <w:t>	Flujo de caja libre</w:t>
            </w:r>
          </w:p>
          <w:p>
            <w:pPr>
              <w:ind w:left="-284" w:right="-427"/>
              <w:jc w:val="both"/>
              <w:rPr>
                <w:rFonts/>
                <w:color w:val="262626" w:themeColor="text1" w:themeTint="D9"/>
              </w:rPr>
            </w:pPr>
            <w:r>
              <w:t>	-3</w:t>
            </w:r>
          </w:p>
          <w:p>
            <w:pPr>
              <w:ind w:left="-284" w:right="-427"/>
              <w:jc w:val="both"/>
              <w:rPr>
                <w:rFonts/>
                <w:color w:val="262626" w:themeColor="text1" w:themeTint="D9"/>
              </w:rPr>
            </w:pPr>
            <w:r>
              <w:t>	11</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(1) Antes de gastos extraordinarios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https://www.notasdeprensa.es/el-beneficio-neto-de-indra-alcanza-60-m-en-el_2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