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beneficio neto de Indra alcanza 31M€ en el primer trimestre de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evolución de la actividad de la compañía en el primer trime&gt;tre del ejercicio se ha enmarcado en las tendencias ya registradas a finales del pasado año. Junto a la mejora de las perspectivas macroeconómicas para el mercado español, que se espera que se trasladen gradualmente a la economía real, continúa la fuerte actividad en los mercados latinoamericanos, registrándose en alguno de ellos importantes depreciaciones en los tipos de cambios de sus divisas.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ventas totales han alcanzado 728 M€, nivel similar al del mismo periodo del año anterior, si bien a tipos de cambio constantes (en moneda local) crece un 6%. El comportamiento de la compañía por áreas geográficas ha sido muy positivo, con excepción del mercado español, donde las ventas caen el 10%, lo que sitúa en el 39% el peso de España en las ventas totales de la compañía. Asia, Oriente Medio y África han crecido un 28% (32%, en moneda local) apoyadas en proyectos relevantes de distintos mercados en Oriente Medio y Sudeste Asiático; Latinoamérica ha aumentado un 4% (un 24%, en moneda local); y Europa y Norteamérica, un 1% (2%, en moneda local). Por mercados verticales, Administraciones Públicas  and  Sanidad han crecido un 29%; Servicios Financieros, un 10%; Transporte  and  Tráfico, un 4%; Seguridad  and  Defensa, un 1%; Energía  and  Industria ha descendido un 4% y Telecom  and  Media baja un 6% afectados, principalmente, por la evolución del mercado español.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Resultado Atribuible ha ascendido a 31 M€, lo que supone un aumento del 18% sobre el mismo periodo de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contratación ha alcanzado 1.046 M€ y ha sido un 44% superior a las ventas del periodo. La cartera de pedidos asciende a 3.704 M€ y representa 1,27 veces las ventas de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Margen EBIT recurrente se ha situado en el 7,7%. El plan de adecuación y mejora de la eficiencia de los recursos, que continuará durante el año 2014 y que se concentrará durante los primeros trimestres, ha supuesto unos costes extraordinarios de 5 M€.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capital circulante neto a final del trimestre equivale a 103 días de ventas equivalentes. Las inversiones evolucionan según lo previsto, lo que ha permitido seguir generando cash flow libre, que se ha situado en este trimestre en 21 M€, frente a los 18 M€ del mismo periodo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Dividendo de 0,34 € por acción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Tal como se comunicó el pasado mes de marzo, el Consejo de Administración propondrá a la Junta General de Accionistas, que se celebrará el próximo mes de junio, el pago de un dividendo ordinario de 0,34€ por acción con cargo a los resultados 2013, equivalente a un pay out del 48% y a una rentabilidad por dividendo del 2,8% sobre el precio del cierre del año 2013 (12,155 euros). El pago del dividendo se hará efectivo a principios del mes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Evolución prevista para 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actividad de Indra durante el primer trimestre ha evolucionado según lo previsto, por lo que la compañía confía en que sus actividades a lo largo del ejercicio se desarrollen de acuerdo con sus previsiones, alcanzando el objetivo de generar un cash flow libre superior a 100 M€ en 2014, y sentando las bases para continuar con mejoras adicionales en los próximos ejercicios.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PRINCIPALES MAGNITUDES: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siguiente tabla se detallan las principales magnitudes al cierre del período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1T 14 (M€)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1T 13 (M€)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Variación (%)	Reportado / Mon.	Local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Contratación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1.046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1.055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(1)/6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Ventas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728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728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0/6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Cartera de pedidos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3.704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3.774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Resultado Operativo (EBIT) recurrente (1)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Margen EBIT recurrente (1)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7,7%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7,9%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(0,2)pp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Costes extraordinarios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(5)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(31)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Resultado Operativo (EBIT)                      51 50 2 Margen EBIT 7,0% 6,8% 0,2pp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Resultado Neto recurrente (1)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Resultado Neto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Deuda neta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607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634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(4)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Flujo de Caja Libre 21 18 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(1) Antes de costes extraordinarios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https://www.notasdeprensa.es/el-beneficio-neto-de-indra-alcanza-31m-en-el_1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