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del Grupo Red Eléctrica alcanza los 309 millones de euros en el primer semestre del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se eleva a 225,8 millones de euros, un 90% de los cuales se destinó al desarrollo de la red de transporte en España</w:t>
            </w:r>
          </w:p>
          <w:p>
            <w:pPr>
              <w:ind w:left="-284" w:right="-427"/>
              <w:jc w:val="both"/>
              <w:rPr>
                <w:rFonts/>
                <w:color w:val="262626" w:themeColor="text1" w:themeTint="D9"/>
              </w:rPr>
            </w:pPr>
            <w:r>
              <w:t>El Grupo Red Eléctrica ha obtenido en el primer semestre del 2015 un  beneficio neto de 309 millones de euros, un 6,5% más que el del mismo periodo del año anterior. La compañía, que ha presentado hoy sus resultados financieros, ha realizado inversiones por valor de 225,8 millones de euros, un 90% de los cuales se ha destinado al desarrollo de la red de transporte española.</w:t>
            </w:r>
          </w:p>
          <w:p>
            <w:pPr>
              <w:ind w:left="-284" w:right="-427"/>
              <w:jc w:val="both"/>
              <w:rPr>
                <w:rFonts/>
                <w:color w:val="262626" w:themeColor="text1" w:themeTint="D9"/>
              </w:rPr>
            </w:pPr>
            <w:r>
              <w:t>La cifra de negocio del primer semestre del ejercicio 2015 asciende a 972,7 millones de euros, lo que significa un crecimiento de un 5% respecto al mismo periodo del año anterior e incluye los ingresos provenientes de las instalaciones puestas en servicio en 2014, así como 41,5 millones de euros por la actividad de telecomunicaciones, actividad en la que se está avanzando de acuerdo con lo previsto en el Plan Estratégico 2014-2019. Estas cifras superan incluso los resultados esperados en este primer semestre.</w:t>
            </w:r>
          </w:p>
          <w:p>
            <w:pPr>
              <w:ind w:left="-284" w:right="-427"/>
              <w:jc w:val="both"/>
              <w:rPr>
                <w:rFonts/>
                <w:color w:val="262626" w:themeColor="text1" w:themeTint="D9"/>
              </w:rPr>
            </w:pPr>
            <w:r>
              <w:t>El resultado bruto de explotación (EBITDA) se ha elevado hasta los 740,3 millones de euros, un 6,6% por encima del obtenido en los seis primeros meses de 2014. Su evolución está vinculada a la de la cifra de negocio y a los costes operativos, que han aumentado un 3,3% con respecto al ejercicio precedente. Los costes reflejan los esfuerzos por ganar eficiencia que está realizando la empresa, ya que en esta partida, se incluyen en 2015 los costes asociados al contrato de gestión suscrito con Adif que no se incluían en el año anterior.</w:t>
            </w:r>
          </w:p>
          <w:p>
            <w:pPr>
              <w:ind w:left="-284" w:right="-427"/>
              <w:jc w:val="both"/>
              <w:rPr>
                <w:rFonts/>
                <w:color w:val="262626" w:themeColor="text1" w:themeTint="D9"/>
              </w:rPr>
            </w:pPr>
            <w:r>
              <w:t>El crecimiento del EBITDA y de la cifra de negocio se debe, a partes iguales, al aumento del negocio de telecomunicaciones y de la actividad de transporte.</w:t>
            </w:r>
          </w:p>
          <w:p>
            <w:pPr>
              <w:ind w:left="-284" w:right="-427"/>
              <w:jc w:val="both"/>
              <w:rPr>
                <w:rFonts/>
                <w:color w:val="262626" w:themeColor="text1" w:themeTint="D9"/>
              </w:rPr>
            </w:pPr>
            <w:r>
              <w:t>El resultado financiero ha sido de -78,5 millones de euros frente a -70,4 millones de euros registrados en el mismo periodo del ejercicio anterior, como consecuencia de un mayor saldo medio de la deuda financiera, debido fundamentalmente a la adquisición de los derechos de uso de la red de fibra óptica de Adif, compensado parcialmente por un menor tipo medio de interés.</w:t>
            </w:r>
          </w:p>
          <w:p>
            <w:pPr>
              <w:ind w:left="-284" w:right="-427"/>
              <w:jc w:val="both"/>
              <w:rPr>
                <w:rFonts/>
                <w:color w:val="262626" w:themeColor="text1" w:themeTint="D9"/>
              </w:rPr>
            </w:pPr>
            <w:r>
              <w:t>Cuenta de resultados</w:t>
            </w:r>
          </w:p>
          <w:p>
            <w:pPr>
              <w:ind w:left="-284" w:right="-427"/>
              <w:jc w:val="both"/>
              <w:rPr>
                <w:rFonts/>
                <w:color w:val="262626" w:themeColor="text1" w:themeTint="D9"/>
              </w:rPr>
            </w:pPr>
            <w:r>
              <w:t>Enero - Junio</w:t>
            </w:r>
          </w:p>
          <w:p>
            <w:pPr>
              <w:ind w:left="-284" w:right="-427"/>
              <w:jc w:val="both"/>
              <w:rPr>
                <w:rFonts/>
                <w:color w:val="262626" w:themeColor="text1" w:themeTint="D9"/>
              </w:rPr>
            </w:pPr>
            <w:r>
              <w:t>(en miles de euros)</w:t>
            </w:r>
          </w:p>
          <w:p>
            <w:pPr>
              <w:ind w:left="-284" w:right="-427"/>
              <w:jc w:val="both"/>
              <w:rPr>
                <w:rFonts/>
                <w:color w:val="262626" w:themeColor="text1" w:themeTint="D9"/>
              </w:rPr>
            </w:pPr>
            <w:r>
              <w:t>2015</w:t>
            </w:r>
          </w:p>
          <w:p>
            <w:pPr>
              <w:ind w:left="-284" w:right="-427"/>
              <w:jc w:val="both"/>
              <w:rPr>
                <w:rFonts/>
                <w:color w:val="262626" w:themeColor="text1" w:themeTint="D9"/>
              </w:rPr>
            </w:pPr>
            <w:r>
              <w:t>2014</w:t>
            </w:r>
          </w:p>
          <w:p>
            <w:pPr>
              <w:ind w:left="-284" w:right="-427"/>
              <w:jc w:val="both"/>
              <w:rPr>
                <w:rFonts/>
                <w:color w:val="262626" w:themeColor="text1" w:themeTint="D9"/>
              </w:rPr>
            </w:pPr>
            <w:r>
              <w:t>D %</w:t>
            </w:r>
          </w:p>
          <w:p>
            <w:pPr>
              <w:ind w:left="-284" w:right="-427"/>
              <w:jc w:val="both"/>
              <w:rPr>
                <w:rFonts/>
                <w:color w:val="262626" w:themeColor="text1" w:themeTint="D9"/>
              </w:rPr>
            </w:pPr>
            <w:r>
              <w:t>Cifra de negocio</w:t>
            </w:r>
          </w:p>
          <w:p>
            <w:pPr>
              <w:ind w:left="-284" w:right="-427"/>
              <w:jc w:val="both"/>
              <w:rPr>
                <w:rFonts/>
                <w:color w:val="262626" w:themeColor="text1" w:themeTint="D9"/>
              </w:rPr>
            </w:pPr>
            <w:r>
              <w:t>972.725</w:t>
            </w:r>
          </w:p>
          <w:p>
            <w:pPr>
              <w:ind w:left="-284" w:right="-427"/>
              <w:jc w:val="both"/>
              <w:rPr>
                <w:rFonts/>
                <w:color w:val="262626" w:themeColor="text1" w:themeTint="D9"/>
              </w:rPr>
            </w:pPr>
            <w:r>
              <w:t>926.472</w:t>
            </w:r>
          </w:p>
          <w:p>
            <w:pPr>
              <w:ind w:left="-284" w:right="-427"/>
              <w:jc w:val="both"/>
              <w:rPr>
                <w:rFonts/>
                <w:color w:val="262626" w:themeColor="text1" w:themeTint="D9"/>
              </w:rPr>
            </w:pPr>
            <w:r>
              <w:t>5,0</w:t>
            </w:r>
          </w:p>
          <w:p>
            <w:pPr>
              <w:ind w:left="-284" w:right="-427"/>
              <w:jc w:val="both"/>
              <w:rPr>
                <w:rFonts/>
                <w:color w:val="262626" w:themeColor="text1" w:themeTint="D9"/>
              </w:rPr>
            </w:pPr>
            <w:r>
              <w:t>Resultado bruto de explotación (EBITDA)</w:t>
            </w:r>
          </w:p>
          <w:p>
            <w:pPr>
              <w:ind w:left="-284" w:right="-427"/>
              <w:jc w:val="both"/>
              <w:rPr>
                <w:rFonts/>
                <w:color w:val="262626" w:themeColor="text1" w:themeTint="D9"/>
              </w:rPr>
            </w:pPr>
            <w:r>
              <w:t>740.281</w:t>
            </w:r>
          </w:p>
          <w:p>
            <w:pPr>
              <w:ind w:left="-284" w:right="-427"/>
              <w:jc w:val="both"/>
              <w:rPr>
                <w:rFonts/>
                <w:color w:val="262626" w:themeColor="text1" w:themeTint="D9"/>
              </w:rPr>
            </w:pPr>
            <w:r>
              <w:t>694.669</w:t>
            </w:r>
          </w:p>
          <w:p>
            <w:pPr>
              <w:ind w:left="-284" w:right="-427"/>
              <w:jc w:val="both"/>
              <w:rPr>
                <w:rFonts/>
                <w:color w:val="262626" w:themeColor="text1" w:themeTint="D9"/>
              </w:rPr>
            </w:pPr>
            <w:r>
              <w:t>6,6</w:t>
            </w:r>
          </w:p>
          <w:p>
            <w:pPr>
              <w:ind w:left="-284" w:right="-427"/>
              <w:jc w:val="both"/>
              <w:rPr>
                <w:rFonts/>
                <w:color w:val="262626" w:themeColor="text1" w:themeTint="D9"/>
              </w:rPr>
            </w:pPr>
            <w:r>
              <w:t>Resultado neto de explotación (EBIT)</w:t>
            </w:r>
          </w:p>
          <w:p>
            <w:pPr>
              <w:ind w:left="-284" w:right="-427"/>
              <w:jc w:val="both"/>
              <w:rPr>
                <w:rFonts/>
                <w:color w:val="262626" w:themeColor="text1" w:themeTint="D9"/>
              </w:rPr>
            </w:pPr>
            <w:r>
              <w:t>507.105</w:t>
            </w:r>
          </w:p>
          <w:p>
            <w:pPr>
              <w:ind w:left="-284" w:right="-427"/>
              <w:jc w:val="both"/>
              <w:rPr>
                <w:rFonts/>
                <w:color w:val="262626" w:themeColor="text1" w:themeTint="D9"/>
              </w:rPr>
            </w:pPr>
            <w:r>
              <w:t>485.293</w:t>
            </w:r>
          </w:p>
          <w:p>
            <w:pPr>
              <w:ind w:left="-284" w:right="-427"/>
              <w:jc w:val="both"/>
              <w:rPr>
                <w:rFonts/>
                <w:color w:val="262626" w:themeColor="text1" w:themeTint="D9"/>
              </w:rPr>
            </w:pPr>
            <w:r>
              <w:t>4,5</w:t>
            </w:r>
          </w:p>
          <w:p>
            <w:pPr>
              <w:ind w:left="-284" w:right="-427"/>
              <w:jc w:val="both"/>
              <w:rPr>
                <w:rFonts/>
                <w:color w:val="262626" w:themeColor="text1" w:themeTint="D9"/>
              </w:rPr>
            </w:pPr>
            <w:r>
              <w:t>Resultado antes impuestos</w:t>
            </w:r>
          </w:p>
          <w:p>
            <w:pPr>
              <w:ind w:left="-284" w:right="-427"/>
              <w:jc w:val="both"/>
              <w:rPr>
                <w:rFonts/>
                <w:color w:val="262626" w:themeColor="text1" w:themeTint="D9"/>
              </w:rPr>
            </w:pPr>
            <w:r>
              <w:t>428.569</w:t>
            </w:r>
          </w:p>
          <w:p>
            <w:pPr>
              <w:ind w:left="-284" w:right="-427"/>
              <w:jc w:val="both"/>
              <w:rPr>
                <w:rFonts/>
                <w:color w:val="262626" w:themeColor="text1" w:themeTint="D9"/>
              </w:rPr>
            </w:pPr>
            <w:r>
              <w:t>414.902</w:t>
            </w:r>
          </w:p>
          <w:p>
            <w:pPr>
              <w:ind w:left="-284" w:right="-427"/>
              <w:jc w:val="both"/>
              <w:rPr>
                <w:rFonts/>
                <w:color w:val="262626" w:themeColor="text1" w:themeTint="D9"/>
              </w:rPr>
            </w:pPr>
            <w:r>
              <w:t>3,3</w:t>
            </w:r>
          </w:p>
          <w:p>
            <w:pPr>
              <w:ind w:left="-284" w:right="-427"/>
              <w:jc w:val="both"/>
              <w:rPr>
                <w:rFonts/>
                <w:color w:val="262626" w:themeColor="text1" w:themeTint="D9"/>
              </w:rPr>
            </w:pPr>
            <w:r>
              <w:t>Resultado del ejercicio</w:t>
            </w:r>
          </w:p>
          <w:p>
            <w:pPr>
              <w:ind w:left="-284" w:right="-427"/>
              <w:jc w:val="both"/>
              <w:rPr>
                <w:rFonts/>
                <w:color w:val="262626" w:themeColor="text1" w:themeTint="D9"/>
              </w:rPr>
            </w:pPr>
            <w:r>
              <w:t>308.819</w:t>
            </w:r>
          </w:p>
          <w:p>
            <w:pPr>
              <w:ind w:left="-284" w:right="-427"/>
              <w:jc w:val="both"/>
              <w:rPr>
                <w:rFonts/>
                <w:color w:val="262626" w:themeColor="text1" w:themeTint="D9"/>
              </w:rPr>
            </w:pPr>
            <w:r>
              <w:t>289.972</w:t>
            </w:r>
          </w:p>
          <w:p>
            <w:pPr>
              <w:ind w:left="-284" w:right="-427"/>
              <w:jc w:val="both"/>
              <w:rPr>
                <w:rFonts/>
                <w:color w:val="262626" w:themeColor="text1" w:themeTint="D9"/>
              </w:rPr>
            </w:pPr>
            <w:r>
              <w:t>6,5</w:t>
            </w:r>
          </w:p>
          <w:p>
            <w:pPr>
              <w:ind w:left="-284" w:right="-427"/>
              <w:jc w:val="both"/>
              <w:rPr>
                <w:rFonts/>
                <w:color w:val="262626" w:themeColor="text1" w:themeTint="D9"/>
              </w:rPr>
            </w:pPr>
            <w:r>
              <w:t>Otros hechos significativos</w:t>
            </w:r>
          </w:p>
          <w:p>
            <w:pPr>
              <w:ind w:left="-284" w:right="-427"/>
              <w:jc w:val="both"/>
              <w:rPr>
                <w:rFonts/>
                <w:color w:val="262626" w:themeColor="text1" w:themeTint="D9"/>
              </w:rPr>
            </w:pPr>
            <w:r>
              <w:t>El 28 de julio, el Consejo de Administración acordó el nombramiento de Juan Lasala como consejero delegado de la compañía. Lasala fue nombrado consejero ejecutivo de la compañía en la Junta General Extraordinaria de Accionistas celebrada el 17 de julio.</w:t>
            </w:r>
          </w:p>
          <w:p>
            <w:pPr>
              <w:ind w:left="-284" w:right="-427"/>
              <w:jc w:val="both"/>
              <w:rPr>
                <w:rFonts/>
                <w:color w:val="262626" w:themeColor="text1" w:themeTint="D9"/>
              </w:rPr>
            </w:pPr>
            <w:r>
              <w:t>El 1 de julio, se creó Red Eléctrica Infraestructuras de Telecomunicaciones, SAU (Reintel), participada al 100% por Red Eléctrica Corporación. Su actividad está enfocada a la explotación de infraestructuras de telecomunicaciones y, en particular, al alquiler de fibra óptica oscura y emplazamientos. La adquisición de los derechos de uso y explotación comercial de la red de fibra óptica de Adif posiciona al Grupo Red Eléctrica como el mayor operador neutral de infraestructuras de fibra óptica en España. Por ello, se ha decidido dotar al negocio de telecomunicaciones de una estructura jurídica propia que permita una mejor gestión y control del negocio de telecomunicaciones.</w:t>
            </w:r>
          </w:p>
          <w:p>
            <w:pPr>
              <w:ind w:left="-284" w:right="-427"/>
              <w:jc w:val="both"/>
              <w:rPr>
                <w:rFonts/>
                <w:color w:val="262626" w:themeColor="text1" w:themeTint="D9"/>
              </w:rPr>
            </w:pPr>
            <w:r>
              <w:t>El 1 de julio, se procedió al pago de 2,1677 euros por acción como dividendo bruto complementario correspondiente al ejercicio 2014. El dividendo total correspondiente a este ejercicio ha ascendido a 3 euros por acción, un 18% más que en el ejercicio precedente.</w:t>
            </w:r>
          </w:p>
          <w:p>
            <w:pPr>
              <w:ind w:left="-284" w:right="-427"/>
              <w:jc w:val="both"/>
              <w:rPr>
                <w:rFonts/>
                <w:color w:val="262626" w:themeColor="text1" w:themeTint="D9"/>
              </w:rPr>
            </w:pPr>
            <w:r>
              <w:t>El Consejo de Administración de Red Eléctrica Corporación, S.A., en sesión  celebrada el día 26 de mayo de 2015, ha procedido a la renovación de la Comisión de Auditoría y de la Comisión de Nombramientos y Retribuciones.</w:t>
            </w:r>
          </w:p>
          <w:p>
            <w:pPr>
              <w:ind w:left="-284" w:right="-427"/>
              <w:jc w:val="both"/>
              <w:rPr>
                <w:rFonts/>
                <w:color w:val="262626" w:themeColor="text1" w:themeTint="D9"/>
              </w:rPr>
            </w:pPr>
            <w:r>
              <w:t>El 14 de mayo, Red Eléctrica de España aprobó el Plan de Acción de Cambio Climático para el periodo 2015-2020, en el que se definen los objetivos en esta materia con el objeto de contribuir a un modelo energético más sostenible.</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https://www.notasdeprensa.es/el-beneficio-del-grupo-red-electrica-alcanza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