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ayuda a una pareja de Tarragona a exonerar su deuda de más de 1 millón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pareja de empresarios en Tarragona, representada por el despacho de abogados Debify, ha sido exonerada de una deuda que ascendía a más de un millón de euros, marcando un precedente importante en el ámbito de la ley de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pareja de empresarios en Tarragona, representada por el despacho de abogados Debify, ha sido exonerada de una deuda que ascendía a más de un millón de euros, marcando un precedente importante en el ámbito de la ley de segunda oportunidad en España. Los empresarios, que se habían visto gravemente afectados por deudas generadas a partir de su actividad en el sector de la construcción y de varias ejecuciones hipotecarias, lograron obtener la exoneración de sus obligaciones financieras, actuando como personas físicas.</w:t>
            </w:r>
          </w:p>
          <w:p>
            <w:pPr>
              <w:ind w:left="-284" w:right="-427"/>
              <w:jc w:val="both"/>
              <w:rPr>
                <w:rFonts/>
                <w:color w:val="262626" w:themeColor="text1" w:themeTint="D9"/>
              </w:rPr>
            </w:pPr>
            <w:r>
              <w:t>Este caso destaca especialmente por el alto importe de la deuda cancelada, siendo uno de los ejemplos más significativos de éxito de la aplicación de la ley de segunda oportunidad. La pareja había acumulado estas deudas en el curso de su actividad empresarial, pero fue su decisión de proceder bajo el amparo de la ley como personas físicas, lo que finalmente les permitió respirar aliviados.</w:t>
            </w:r>
          </w:p>
          <w:p>
            <w:pPr>
              <w:ind w:left="-284" w:right="-427"/>
              <w:jc w:val="both"/>
              <w:rPr>
                <w:rFonts/>
                <w:color w:val="262626" w:themeColor="text1" w:themeTint="D9"/>
              </w:rPr>
            </w:pPr>
            <w:r>
              <w:t>Entre los acreedores a los que la pareja debía dinero se encontraban Hoist Finance Spain, Intrum Investment, Cabot Financial, BBVA SA y Seguridad Social, entre otros. La exoneración concedida a la pareja, que incluye 668,508,00 euros más una cantidad adicional de más de 324.823,90 euros exclusivamente atribuida a ella, revela la extensa crisis financiera a la que se enfrentaban y el considerable alivio que la asistencia de Debify junto con la Ley de Segunda Oportunidad han facilitado. Este aspecto resalta cómo la deuda había permeado tanto la esfera empresarial como la personal, afectando todos los aspectos de sus vidas.</w:t>
            </w:r>
          </w:p>
          <w:p>
            <w:pPr>
              <w:ind w:left="-284" w:right="-427"/>
              <w:jc w:val="both"/>
              <w:rPr>
                <w:rFonts/>
                <w:color w:val="262626" w:themeColor="text1" w:themeTint="D9"/>
              </w:rPr>
            </w:pPr>
            <w:r>
              <w:t>Este acontecimiento no solo ha cambiado la vida de la pareja, permitiéndoles empezar de nuevo, sino que también sirve como un recordatorio vital de la existencia de la ley de segunda oportunidad en España. Diseñada para ofrecer a individuos y empresarios una salida a situaciones de sobreendeudamiento insuperable, esta ley se confirma una vez más como una herramienta crucial para la recuperación financiera personal.</w:t>
            </w:r>
          </w:p>
          <w:p>
            <w:pPr>
              <w:ind w:left="-284" w:right="-427"/>
              <w:jc w:val="both"/>
              <w:rPr>
                <w:rFonts/>
                <w:color w:val="262626" w:themeColor="text1" w:themeTint="D9"/>
              </w:rPr>
            </w:pPr>
            <w:r>
              <w:t>La historia de esta pareja de Tarragona es un testimonio de resiliencia y de la capacidad de superación de las adversidades financieras. También resalta la importancia de buscar asesoramiento legal adecuado cuando se enfrentan a dificultades económicas, ya que existen mecanismos legales destinados a proporcionar alivio y una segunda oportunidad para aquellos que se encuentran en situaciones apremiantes.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Nicole Dorsch </w:t>
      </w:r>
    </w:p>
    <w:p w:rsidR="00C31F72" w:rsidRDefault="00C31F72" w:rsidP="00AB63FE">
      <w:pPr>
        <w:pStyle w:val="Sinespaciado"/>
        <w:spacing w:line="276" w:lineRule="auto"/>
        <w:ind w:left="-284"/>
        <w:rPr>
          <w:rFonts w:ascii="Arial" w:hAnsi="Arial" w:cs="Arial"/>
        </w:rPr>
      </w:pPr>
      <w:r>
        <w:rPr>
          <w:rFonts w:ascii="Arial" w:hAnsi="Arial" w:cs="Arial"/>
        </w:rPr>
        <w:t>DEBIFY ALSP S.L.</w:t>
      </w:r>
    </w:p>
    <w:p w:rsidR="00AB63FE" w:rsidRDefault="00C31F72" w:rsidP="00AB63FE">
      <w:pPr>
        <w:pStyle w:val="Sinespaciado"/>
        <w:spacing w:line="276" w:lineRule="auto"/>
        <w:ind w:left="-284"/>
        <w:rPr>
          <w:rFonts w:ascii="Arial" w:hAnsi="Arial" w:cs="Arial"/>
        </w:rPr>
      </w:pPr>
      <w:r>
        <w:rPr>
          <w:rFonts w:ascii="Arial" w:hAnsi="Arial" w:cs="Arial"/>
        </w:rPr>
        <w:t>932209453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https://www.notasdeprensa.es/debify-ayuda-a-una-pareja-de-tarragona-a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