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el 01/09/2009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Conoce Las Ùltimas Tendencias En Arte Contemporàneo Con Laterooms.com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Salón Internacional del Grabado y Ediciones de Arte Contemporàneo deleitarà a los amantes y coleccionistas de arte con obras nacionales e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a Madrid la XVII edición del Salón Internacional del Grabado y Ediciones de Arte Contemporáneo, ESTAMPA 2009. El evento, organizado por la Fundación Actilibre, ha recibido gran reconocimiento a nivel europeo en su temática. El recinto estará abierto a todos los públicos entre el 28 de octubre y el 1 de noviembre (de 11 a 21 horas) en el Parque Ferial Juan Carlos I de Madrid.</w:t>
            </w:r>
          </w:p>
          <w:p>
            <w:pPr>
              <w:ind w:left="-284" w:right="-427"/>
              <w:jc w:val="both"/>
              <w:rPr>
                <w:rFonts/>
                <w:color w:val="262626" w:themeColor="text1" w:themeTint="D9"/>
              </w:rPr>
            </w:pPr>
            <w:r>
              <w:t>Los visitantes podrán deleitarse con más de 100 exhibiciones con trabajos tanto de nuevos artistas como de artistas ya consolidados. Además, los amantes del arte podrán adquirir piezas de colecciones como grabados originales, litografía o pinturas y así ampliar sus colecciones a precios muy asequibles.</w:t>
            </w:r>
          </w:p>
          <w:p>
            <w:pPr>
              <w:ind w:left="-284" w:right="-427"/>
              <w:jc w:val="both"/>
              <w:rPr>
                <w:rFonts/>
                <w:color w:val="262626" w:themeColor="text1" w:themeTint="D9"/>
              </w:rPr>
            </w:pPr>
            <w:r>
              <w:t>El espacio se dividirá en distintas secciones como: el Stage, una sección dedicada a proyectos individuales de artistas que requieren espacio para su trabajo, la Video Zone donde se mostrarán videos, documentales y cine experimental o Book-in, el espacio para obras impresas, galerías especializadas, editoriales y distribuidores. Para promocionar las obras de arte contemporáneas emergentes de artistas españoles se ha dedicado la sección Tentaciones, donde entre otros se incluye fotografía, impresión, y arte digital, mientras que la visibilidad de artistas nacionales e internacionales de Arte Contemporáneo será en la zona Frame.</w:t>
            </w:r>
          </w:p>
          <w:p>
            <w:pPr>
              <w:ind w:left="-284" w:right="-427"/>
              <w:jc w:val="both"/>
              <w:rPr>
                <w:rFonts/>
                <w:color w:val="262626" w:themeColor="text1" w:themeTint="D9"/>
              </w:rPr>
            </w:pPr>
            <w:r>
              <w:t>Madrid es una ciudad con continuas demostraciones culturales. Los amantes del arte no pueden dejar escapar esta oportunidad y LateRooms.com ofrece las mejores ofertas y descuentos en  hoteles en Madrid  como: el hotel  Celuisma Florida Norte  4* desde 60 € la habitación doble y  Hotel Osuna  4* desde 52,96 € la habitación doble.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Visa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https://www.notasdeprensa.es/conoce-las-ultimas-tendencias-en-arte-contemporaneo-con-laterooms-com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