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Conferencia en Barcelona: El nuevo lenguaje de las marcas en el siglo XXI.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Máster en Dirección de Comunicación y Gestión Publicitaria (MPC)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marcas están atravesando un proceso de transformación empujadas por una nueva realidad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demostración de poder y la arrogancia están llevando a algunas marcas a disminuir su peso social, mientras cada día surgen otras con una nueva visión. Son marcas que hablan el lenguaje de la gente, que están donde está la gente y que, sobre todo, hacen cosas por y para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allá del producto o servicio que ofrecen son marcas HUMANKIND.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conferencia, explicaremos la transformación del rol de las marcas y cómo deben adaptarse a la situación actual a través de una nueva manera de entender su función en la sociedad y de un nuevo estilo de comunicación. Y también analizaremos cómo este nuevo enfoque permite mejorar el engagement y la cuota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PONENCIA A CARGO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Daniel Llano es profesor del área de publicidad de ESIC. Tiene una gran experiencia como profesional en el mundo de la publicidad y la comunicación. Ha desarrollada su carrera en Ogilvy y, desde hace 3 años, es CEO y fundador de TWIST Agency.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trabajado para clientes como Movistar, Unilever, Iberia, Panrico, Cocacola, Ritz Carlton y Nestlé.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licenciado en Publicidad por la UAB y Administración de Empresas por ESADE.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Comenta el evento a través de Twitter poniendo el hastag #MarcasESIC en tus tweets.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https://www.notasdeprensa.es/conferencia-en-barcelona-el-nuevo-lenguaje-de_1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