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13/02/2015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Conferencia en Barcelona: El nuevo lenguaje de las marcas en el siglo XXI.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Máster en Dirección de Comunicación y Gestión Publicitaria (MPC)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Las marcas están atravesando un proceso de transformación empujadas por una nueva realidad social.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demostración de poder y la arrogancia están llevando a algunas marcas a disminuir su peso social, mientras cada día surgen otras con una nueva visión. Son marcas que hablan el lenguaje de la gente, que están donde está la gente y que, sobre todo, hacen cosas por y para la gente.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Más allá del producto o servicio que ofrecen son marcas HUMANKIND.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esta conferencia, explicaremos la transformación del rol de las marcas y cómo deben adaptarse a la situación actual a través de una nueva manera de entender su función en la sociedad y de un nuevo estilo de comunicación. Y también analizaremos cómo este nuevo enfoque permite mejorar el engagement y la cuota de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PONENCIA A CARGO DE: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Daniel Llano es profesor del área de publicidad de ESIC. Tiene una gran experiencia como profesional en el mundo de la publicidad y la comunicación. Ha desarrollada su carrera en Ogilvy y, desde hace 3 años, es CEO y fundador de TWIST Agency.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Ha trabajado para clientes como Movistar, Unilever, Iberia, Panrico, Cocacola, Ritz Carlton y Nestlé.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 licenciado en Publicidad por la UAB y Administración de Empresas por ESADE.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Comenta el evento a través de Twitter poniendo el hastag #MarcasESIC en tus tweets.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https://www.notasdeprensa.es/conferencia-en-barcelona-el-nuevo-lenguaje-de_1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/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