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13/03/2012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Comunicae entra en una nueva etapa multiplicando sus capacidades y opciones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Producto del crecimiento continuado en usuarios registrados y tráfico, Comunicae lanza su versión 4.0 con nuevos productos más potentes y eficaces.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Tras 5 años online y  haber alcanzado hitos como la media de más de 900 notas de prensa al mes enviadas, los 5,700 usuarios únicos emisores registrados, más de 3.000 periodistas, bloggers y profesionales receptores de notas de prensa segmentadas, más de 500 followers en Twitter,  las más de 170.000 páginas vistas al mes, la puesta en marcha del servicio Premium y el lanzamiento de www.notasdeprensa.es como gran portal de noticias profesionales, Comunicae afronta el 2012 con más retos y novedades.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Estas se resumen en:	         o Potenciamos nuestro sistema SeedRelease para aumentar aún más la difusión, viralidad y  repercusión de las Notas de prensa de nuestros usuarios.	         o Mejoramos la herramienta de monitorización para hacerla más útil y potente al cliente profesional, mejorando también la usabilidad de los informes generados.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Así pues lanzamos 2 opciones Premium	         - Nota de Prensa Premium : Para aquellos que solo desean la difusión y repercusión que la herramienta SeedRelease de Comunicae puede proporcionarles.	         - Nota de prensa Premium Plus: Especialmente pensado para los profesionales de la comunicación que necesitan poner en valor su trabajo cuantificando y cualificando el valor de su inversión en Comunicae aprovechando nuestra herramienta de Monitorización y los informes con filtro humano final que esta genera.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Todo ello con la posibilidad de contratar Packs Premium de cada opción.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Gracias por confiar en Comunicae y estoy a su entera disposición para cualquier duda que tengan,	Cándido Blasco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Cándido Blasco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600407966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https://www.notasdeprensa.es/comunicae-entra-en-una-nueva-etapa-multiplicando-sus-capacidades-y-opciones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Fotografía Bricolaje Medicina Nutrición Industria Farmacéutica Derecho Franquicias Inmobiliaria Finanzas Imágen y sonido Telecomunicaciones Inteligencia Artificial y Robótica Interiorismo Gastronomía Viaje Moda Cine Artes Visuales Artes Escénicas Música Historia Idiomas Educación Literatura Fútbol Básquet Motociclismo Automovilismo Comunicación Marketing Sociedad Programación Juegos Hardware Televisión y Radio Madrid Cataluña Andalucia Valencia País Vasco Galicia Baleares Aragón Extremadura Asturias Castilla y León Cantabria Canarias Castilla La Mancha Infantil Ceuta y Melilla Navarra Murcia La Rioja Entretenimiento Veterinaria Ecología Golf Esquí Nautica Mascotas Turismo Industria Alimentaria Cómics Emprendedores Logística E-Commerce Software Ciberseguridad Tenis Ciclismo Seguros Restauración Solidaridad y cooperación Industria Téxtil Industria Automotriz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