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primera edición del único Máster Universitario (Oficial) en People Analytics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titulación puesta en marcha por ID Digital School y la UCJC se imparte en el Campus Castellana y cuenta con alumnos de diferentes nacionalidades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17 de octubre comenzó la primera edición del Máster Universitario en People Analytics y Gestión de Talento Digital de ID Digital School en colaboración con la Universidad Camilo José Cela (UCJC), el único máster oficial que se puede estudiar actualmente en España en esta innovadora disciplina.  </w:t>
            </w:r>
          </w:p>
          <w:p>
            <w:pPr>
              <w:ind w:left="-284" w:right="-427"/>
              <w:jc w:val="both"/>
              <w:rPr>
                <w:rFonts/>
                <w:color w:val="262626" w:themeColor="text1" w:themeTint="D9"/>
              </w:rPr>
            </w:pPr>
            <w:r>
              <w:t>El título ha generado un gran interés y en esta primera edición 2024/2025 cuenta con alumnos de diferentes nacionalidades: España, Argentina, Ecuador, República Dominicana, Perú, Colombia y Bolivia. Se imparte en el moderno campus Castellana de la UCJC ubicado en la calle Juan Hurtado de Mendoza, entre Cuzco y Plaza de Castilla, junto al paseo de la Castellana. El edificio cuenta con cuatro plantas y una superficie de más de 11.000 metros cuadrados, 3.200 de ellos en zonas verdes de trabajo exterior.  </w:t>
            </w:r>
          </w:p>
          <w:p>
            <w:pPr>
              <w:ind w:left="-284" w:right="-427"/>
              <w:jc w:val="both"/>
              <w:rPr>
                <w:rFonts/>
                <w:color w:val="262626" w:themeColor="text1" w:themeTint="D9"/>
              </w:rPr>
            </w:pPr>
            <w:r>
              <w:t>El programa va dirigido a profesionales que buscan aplicar, en profundidad, la analítica y ciencia de datos y la inteligencia artificial, así como otras herramientas digitales, a la gestión de recursos humanos. Combina teoría y la práctica. Así, consigue dotar a los alumnos de conocimientos avanzados y habilidades directamente aplicables en la toma de decisiones estratégicas basadas en datos dentro del ámbito de la gestión del talento humano. Estos estudios distribuyen su carga lectiva en 60 créditos ECTS y su carácter oficial es otorgado por la Agencia Nacional de Evaluación de la Calidad y la Acreditación (ANECA) siendo así un referente de calidad.   </w:t>
            </w:r>
          </w:p>
          <w:p>
            <w:pPr>
              <w:ind w:left="-284" w:right="-427"/>
              <w:jc w:val="both"/>
              <w:rPr>
                <w:rFonts/>
                <w:color w:val="262626" w:themeColor="text1" w:themeTint="D9"/>
              </w:rPr>
            </w:pPr>
            <w:r>
              <w:t>El máster cuenta con destacados profesores expertos en People Analytics y gestión del talento, tanto académicos como profesionales en activo, vinculados al área de los recursos humanos, nuevas tecnologías e inteligencia artificial.  </w:t>
            </w:r>
          </w:p>
          <w:p>
            <w:pPr>
              <w:ind w:left="-284" w:right="-427"/>
              <w:jc w:val="both"/>
              <w:rPr>
                <w:rFonts/>
                <w:color w:val="262626" w:themeColor="text1" w:themeTint="D9"/>
              </w:rPr>
            </w:pPr>
            <w:r>
              <w:t>Entre sus asignaturas más destacadas se encuentran ‘Introducción al área de RR. HH. en la era digital’, ‘Atracción de talento en la era digital’, ‘Estrategias y metodologías de People Analytics’ o ‘Gestión de datos en RR. HH.’, entre otras. Además, el máster incluye prácticas profesionales en empresas donde aplicar los conocimientos adquiridos en un entorno real, enfrentando desafíos actuales en la gestión del talento mediante el uso de herramientas digitales. Para la orientación laboral y de prácticas, estos estudios cuentan con el apoyo de Selecta Digital, una empresa de selección IT especializada en la selección de profesionales digitales para las compañías que requieren estos perfiles y que ha colaborado en el diseño del temario. </w:t>
            </w:r>
          </w:p>
          <w:p>
            <w:pPr>
              <w:ind w:left="-284" w:right="-427"/>
              <w:jc w:val="both"/>
              <w:rPr>
                <w:rFonts/>
                <w:color w:val="262626" w:themeColor="text1" w:themeTint="D9"/>
              </w:rPr>
            </w:pPr>
            <w:r>
              <w:t>Además de esta titulación, y en la misma línea de formar profesionales digitales, ID Digital School colabora con la UCJC en la gestión de otros másteres oficiales, como su reconocido Máster Universitario (Oficial) en Marketing Digital, y su Máster Universitario (Oficial) en Comunicación Política, Empresarial y Digital.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López</w:t>
      </w:r>
    </w:p>
    <w:p w:rsidR="00C31F72" w:rsidRDefault="00C31F72" w:rsidP="00AB63FE">
      <w:pPr>
        <w:pStyle w:val="Sinespaciado"/>
        <w:spacing w:line="276" w:lineRule="auto"/>
        <w:ind w:left="-284"/>
        <w:rPr>
          <w:rFonts w:ascii="Arial" w:hAnsi="Arial" w:cs="Arial"/>
        </w:rPr>
      </w:pPr>
      <w:r>
        <w:rPr>
          <w:rFonts w:ascii="Arial" w:hAnsi="Arial" w:cs="Arial"/>
        </w:rPr>
        <w:t>Marketing t-position</w:t>
      </w:r>
    </w:p>
    <w:p w:rsidR="00AB63FE" w:rsidRDefault="00C31F72" w:rsidP="00AB63FE">
      <w:pPr>
        <w:pStyle w:val="Sinespaciado"/>
        <w:spacing w:line="276" w:lineRule="auto"/>
        <w:ind w:left="-284"/>
        <w:rPr>
          <w:rFonts w:ascii="Arial" w:hAnsi="Arial" w:cs="Arial"/>
        </w:rPr>
      </w:pPr>
      <w:r>
        <w:rPr>
          <w:rFonts w:ascii="Arial" w:hAnsi="Arial" w:cs="Arial"/>
        </w:rPr>
        <w:t>917123274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https://www.notasdeprensa.es/comienza-la-primera-edicion-del-unico-master_1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