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Rozas-Madrid el 07/05/2021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Cione se alía con Fundación Empresa y Sociedad para solventar 5 retos empresariales de la mano de startups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programa e-sprints B2B, se va a proveer de soluciones innovadoras, ágiles y de rápida implantación a los socios de Cione, en colaboración con startups, en diferentes ejes clave en el momento actual de la cooperativa, que les serán planteadas a los emprendedores en forma de retos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startups se han afianzado como recurso clave para solventar los retos empresariales, económicos y sociales que han surgido en el nuevo escenario económico. Sobre todo, en ámbitos digitales. La iniciativa e-sprints B2B de Fundación Empresa y Sociedad ha servido durante los últimos meses de termómetro para testar la alta demanda de soluciones tecnológicas de rápida implantación que han venido para quedarse y siguen reclamando actores de todos los perfiles desde ámbitos sociales y económicos de todo tipo, algo que no ha pasado desapercibido para Grupo Cione.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e-sprints B2B nacieron en junio de 2020 y resolvieron en sus primeros pasos hasta 27 desafíos para la reconstrucción lanzados por grandes empresas (AON, Auren, Sacyr…), organismos sociales (Intermón - OXFAM, Fundación ONCE, Cáritas…) o asociaciones de pymes (ACOTEX, AEVEA…). A la llamada acudieron casi 1.000 startups consolidadas (scaleups) españolas e internacionales que desbordaron los mejores pronósticos iniciales.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el éxito obtenido, que le da continuidad al proyecto, Cione ha llegado a un acuerdo con la Fundación Empresa y Sociedad, de manera que se van a solicitar soluciones a startups en diferentes aspectos, relacionados fundamentalmente con el reto digital, que han sido planteadas a la Fundación que se encarga de coordinarlas como retos. A las scaleups seleccionadas, se les solicitará la inmediata adaptación y puesta en marcha de la solución ofrecida, a través de un contrato de prestación de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demanda de soluciones a las scaleups para afrontar los nuevos retos de la economía española con su aportación sigue siendo muy elevada. Lo notamos día a día. Las virtudes de estas startups (velocidad, dinamismo, frescura, innovación…) las hacen atractivas para empresas y organismos sociales. Ven en ellas puntos de apoyo para resolver con agilidad problemas acuciantes de este nuevo escenario que estamos viviendo. Por eso hemos decidido convertir los e-sprints B2B en una herramienta cotidiana, de utilidad recurrente al servicio, ahora también para Grupo Cione y en el sector de la óptica”, explica Francisco Abad, fundador de Fundación Empresa y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Miguel Angel García, director general de Grupo Cione, “la combinación de emprendimiento, juventud e innovación que nos va a aportar la Fundación Empresa and Sociedad, con la experiencia de ser la cooperativa decana del sector es garantía de éxito. Ambas partes saldremos reforzadas con este proyecto”.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https://www.notasdeprensa.es/cione-se-alia-con-fundacion-empresa-y-sociedad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Comunicación Marketing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