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Software Technologies anuncia sus resultados económicos del segundo trimestre de 2021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totales: 526 millones de dólares, lo que supone un aumento del 4% con respecto al año anterior. Ingresos diferidos: 1.472 millones de dólares, lo que supone un aumento del 10% con respecto al año anterior. Ingresos de explotación GAAP: 222 millones de dólares, que representan el 42% de los ingresos. Ingresos de explotación no GAAP: 257 millones de dólares, que representan el 49% de los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ha anunciado los resultados financieros correspondientes al segundo trimestre de 2021 que finaliza el 30 de junio de 2021.</w:t>
            </w:r>
          </w:p>
          <w:p>
            <w:pPr>
              <w:ind w:left="-284" w:right="-427"/>
              <w:jc w:val="both"/>
              <w:rPr>
                <w:rFonts/>
                <w:color w:val="262626" w:themeColor="text1" w:themeTint="D9"/>
              </w:rPr>
            </w:pPr>
            <w:r>
              <w:t>Segundo trimestre de 2021:</w:t>
            </w:r>
          </w:p>
          <w:p>
            <w:pPr>
              <w:ind w:left="-284" w:right="-427"/>
              <w:jc w:val="both"/>
              <w:rPr>
                <w:rFonts/>
                <w:color w:val="262626" w:themeColor="text1" w:themeTint="D9"/>
              </w:rPr>
            </w:pPr>
            <w:r>
              <w:t>Ingresos totales: 526 millones de dólares, lo que supone un aumento del 4% con respecto al año anterior.</w:t>
            </w:r>
          </w:p>
          <w:p>
            <w:pPr>
              <w:ind w:left="-284" w:right="-427"/>
              <w:jc w:val="both"/>
              <w:rPr>
                <w:rFonts/>
                <w:color w:val="262626" w:themeColor="text1" w:themeTint="D9"/>
              </w:rPr>
            </w:pPr>
            <w:r>
              <w:t>Ingresos diferidos: 1.472 millones de dólares, lo que supone un aumento del 10% con respecto al año anterior.</w:t>
            </w:r>
          </w:p>
          <w:p>
            <w:pPr>
              <w:ind w:left="-284" w:right="-427"/>
              <w:jc w:val="both"/>
              <w:rPr>
                <w:rFonts/>
                <w:color w:val="262626" w:themeColor="text1" w:themeTint="D9"/>
              </w:rPr>
            </w:pPr>
            <w:r>
              <w:t>Ingresos de explotación GAAP: 222 millones de dólares, que representan el 42% de los ingresos.</w:t>
            </w:r>
          </w:p>
          <w:p>
            <w:pPr>
              <w:ind w:left="-284" w:right="-427"/>
              <w:jc w:val="both"/>
              <w:rPr>
                <w:rFonts/>
                <w:color w:val="262626" w:themeColor="text1" w:themeTint="D9"/>
              </w:rPr>
            </w:pPr>
            <w:r>
              <w:t>Ingresos de explotación no GAAP: 257 millones de dólares, que representan el 49% de los ingresos.</w:t>
            </w:r>
          </w:p>
          <w:p>
            <w:pPr>
              <w:ind w:left="-284" w:right="-427"/>
              <w:jc w:val="both"/>
              <w:rPr>
                <w:rFonts/>
                <w:color w:val="262626" w:themeColor="text1" w:themeTint="D9"/>
              </w:rPr>
            </w:pPr>
            <w:r>
              <w:t>Beneficio por acción GAAP: 1,38 dólares, igual que el año pasado.</w:t>
            </w:r>
          </w:p>
          <w:p>
            <w:pPr>
              <w:ind w:left="-284" w:right="-427"/>
              <w:jc w:val="both"/>
              <w:rPr>
                <w:rFonts/>
                <w:color w:val="262626" w:themeColor="text1" w:themeTint="D9"/>
              </w:rPr>
            </w:pPr>
            <w:r>
              <w:t>Beneficio por acción no GAAP: 1,61 dólares, un aumento del 2% año tras año.</w:t>
            </w:r>
          </w:p>
          <w:p>
            <w:pPr>
              <w:ind w:left="-284" w:right="-427"/>
              <w:jc w:val="both"/>
              <w:rPr>
                <w:rFonts/>
                <w:color w:val="262626" w:themeColor="text1" w:themeTint="D9"/>
              </w:rPr>
            </w:pPr>
            <w:r>
              <w:t>Flujo de caja de las operaciones: 264 millones de dólares, un aumento del 4% respecto al año anterior.</w:t>
            </w:r>
          </w:p>
          <w:p>
            <w:pPr>
              <w:ind w:left="-284" w:right="-427"/>
              <w:jc w:val="both"/>
              <w:rPr>
                <w:rFonts/>
                <w:color w:val="262626" w:themeColor="text1" w:themeTint="D9"/>
              </w:rPr>
            </w:pPr>
            <w:r>
              <w:t>"Hemos tenido un buen segundo trimestre. Hemos visto un crecimiento de dos dígitos en CloudGuard y Harmony, y de tres dígitos en el caso de la plataforma Infinity. En general, hemos incrementado nuestros ingresos por suscripciones de servicios de seguridad en un 12%", señala Gil Shwed, fundador y CEO de Check Point Software Technologies. "Hemos visto un crecimiento del 93% en los ataques de ransomware, ya que los ataques Gen V son ahora la nueva norma. Creemos que las organizaciones pueden detener la próxima pandemia cibernética adoptando un enfoque de prevención en la seguridad en toda la red, la nube y los usuarios en acceso remoto".</w:t>
            </w:r>
          </w:p>
          <w:p>
            <w:pPr>
              <w:ind w:left="-284" w:right="-427"/>
              <w:jc w:val="both"/>
              <w:rPr>
                <w:rFonts/>
                <w:color w:val="262626" w:themeColor="text1" w:themeTint="D9"/>
              </w:rPr>
            </w:pPr>
            <w:r>
              <w:t>Principales resultados financieros del segundo trimestre de 2021</w:t>
            </w:r>
          </w:p>
          <w:p>
            <w:pPr>
              <w:ind w:left="-284" w:right="-427"/>
              <w:jc w:val="both"/>
              <w:rPr>
                <w:rFonts/>
                <w:color w:val="262626" w:themeColor="text1" w:themeTint="D9"/>
              </w:rPr>
            </w:pPr>
            <w:r>
              <w:t>Ingresos totales: 526 millones de dólares frente a 506 millones de dólares del segundo trimestre de 2020, lo que supone un aumento del 4 % interanual.</w:t>
            </w:r>
          </w:p>
          <w:p>
            <w:pPr>
              <w:ind w:left="-284" w:right="-427"/>
              <w:jc w:val="both"/>
              <w:rPr>
                <w:rFonts/>
                <w:color w:val="262626" w:themeColor="text1" w:themeTint="D9"/>
              </w:rPr>
            </w:pPr>
            <w:r>
              <w:t>Ingreso de explotación GAAP: 222 millones de dólares vs 221 millones en el segundo trimestre de 2020, lo que representa el 42% y el 44% de los ingresos en el segundo trimestre de 2021 y 2020, respectivamente.</w:t>
            </w:r>
          </w:p>
          <w:p>
            <w:pPr>
              <w:ind w:left="-284" w:right="-427"/>
              <w:jc w:val="both"/>
              <w:rPr>
                <w:rFonts/>
                <w:color w:val="262626" w:themeColor="text1" w:themeTint="D9"/>
              </w:rPr>
            </w:pPr>
            <w:r>
              <w:t>Ingresos de explotación no-GAAP: 257 millones de dólares como resultado de este Q2 de 2021 en comparación con 253 millones de dólares en el segundo trimestre de 2020, lo que representa el 49% y el 50% de los ingresos en el segundo trimestre de 2021 y 2020, respectivamente.</w:t>
            </w:r>
          </w:p>
          <w:p>
            <w:pPr>
              <w:ind w:left="-284" w:right="-427"/>
              <w:jc w:val="both"/>
              <w:rPr>
                <w:rFonts/>
                <w:color w:val="262626" w:themeColor="text1" w:themeTint="D9"/>
              </w:rPr>
            </w:pPr>
            <w:r>
              <w:t>Impuestos sobre la renta GAAP (beneficio fiscal): 47 millones de dólares, frente a los 43 millones del segundo trimestre de 2020.</w:t>
            </w:r>
          </w:p>
          <w:p>
            <w:pPr>
              <w:ind w:left="-284" w:right="-427"/>
              <w:jc w:val="both"/>
              <w:rPr>
                <w:rFonts/>
                <w:color w:val="262626" w:themeColor="text1" w:themeTint="D9"/>
              </w:rPr>
            </w:pPr>
            <w:r>
              <w:t>Ingresos netos y beneficio por acción GAAP: 186 millones de dólares en comparación con 196 millones de dólares en el segundo trimestre de 2020.</w:t>
            </w:r>
          </w:p>
          <w:p>
            <w:pPr>
              <w:ind w:left="-284" w:right="-427"/>
              <w:jc w:val="both"/>
              <w:rPr>
                <w:rFonts/>
                <w:color w:val="262626" w:themeColor="text1" w:themeTint="D9"/>
              </w:rPr>
            </w:pPr>
            <w:r>
              <w:t>Ingresos netos y beneficio por acción no-GAAP: 217 millones de dólares frente a 225 millones en el segundo trimestre de 2020.</w:t>
            </w:r>
          </w:p>
          <w:p>
            <w:pPr>
              <w:ind w:left="-284" w:right="-427"/>
              <w:jc w:val="both"/>
              <w:rPr>
                <w:rFonts/>
                <w:color w:val="262626" w:themeColor="text1" w:themeTint="D9"/>
              </w:rPr>
            </w:pPr>
            <w:r>
              <w:t>Beneficios GAAP por acción diluida: 1,61 dólares, frente a los 1,58 dólares del segundo trimestre de 2020, lo que supone un aumento del 2% interanual.</w:t>
            </w:r>
          </w:p>
          <w:p>
            <w:pPr>
              <w:ind w:left="-284" w:right="-427"/>
              <w:jc w:val="both"/>
              <w:rPr>
                <w:rFonts/>
                <w:color w:val="262626" w:themeColor="text1" w:themeTint="D9"/>
              </w:rPr>
            </w:pPr>
            <w:r>
              <w:t>Ingresos diferidos: a 30 de junio de 2021, los ingresos diferidos ascendían a 1.472 millones de dólares, frente a los 1.338 millones de dólares a 30 de junio de 2020, lo que supone un aumento del 10% interanual.</w:t>
            </w:r>
          </w:p>
          <w:p>
            <w:pPr>
              <w:ind w:left="-284" w:right="-427"/>
              <w:jc w:val="both"/>
              <w:rPr>
                <w:rFonts/>
                <w:color w:val="262626" w:themeColor="text1" w:themeTint="D9"/>
              </w:rPr>
            </w:pPr>
            <w:r>
              <w:t>Saldos de efectivo, valores negociables y depósitos a corto plazo: 4.002 millones de dólares a 30 de junio de 2021, frente a 3.959 millones a 30 de junio de 2020.</w:t>
            </w:r>
          </w:p>
          <w:p>
            <w:pPr>
              <w:ind w:left="-284" w:right="-427"/>
              <w:jc w:val="both"/>
              <w:rPr>
                <w:rFonts/>
                <w:color w:val="262626" w:themeColor="text1" w:themeTint="D9"/>
              </w:rPr>
            </w:pPr>
            <w:r>
              <w:t>Flujo de tesorería: el flujo de caja de las operaciones es de 264 millones de dólares, en comparación con los 252 millones de dólares del segundo trimestre de 2020, lo que supone un aumento del 4% interanual.</w:t>
            </w:r>
          </w:p>
          <w:p>
            <w:pPr>
              <w:ind w:left="-284" w:right="-427"/>
              <w:jc w:val="both"/>
              <w:rPr>
                <w:rFonts/>
                <w:color w:val="262626" w:themeColor="text1" w:themeTint="D9"/>
              </w:rPr>
            </w:pPr>
            <w:r>
              <w:t>Programa de recompra de acciones: durante el segundo trimestre de 2021, la empresa recompró aproximadamente 2,7 millones de acciones con un coste total 325 millones de dólares.</w:t>
            </w:r>
          </w:p>
          <w:p>
            <w:pPr>
              <w:ind w:left="-284" w:right="-427"/>
              <w:jc w:val="both"/>
              <w:rPr>
                <w:rFonts/>
                <w:color w:val="262626" w:themeColor="text1" w:themeTint="D9"/>
              </w:rPr>
            </w:pPr>
            <w:r>
              <w:t>Aspectos destacados del negocioEn junio, Check Point Software Technologies amplió las capacidades de su solución Quantum Hybrid Data Center Security para ofrecer una protección avanzada para centros de datos híbridos complejos.</w:t>
            </w:r>
          </w:p>
          <w:p>
            <w:pPr>
              <w:ind w:left="-284" w:right="-427"/>
              <w:jc w:val="both"/>
              <w:rPr>
                <w:rFonts/>
                <w:color w:val="262626" w:themeColor="text1" w:themeTint="D9"/>
              </w:rPr>
            </w:pPr>
            <w:r>
              <w:t>Software Check Point R81.10: la nueva versión de la plataforma de seguridad cibernética ofrece importantes mejoras con una gestión unificada de la seguridad desde el navegador web y la compatibilidad paralela con multiadministradores.</w:t>
            </w:r>
          </w:p>
          <w:p>
            <w:pPr>
              <w:ind w:left="-284" w:right="-427"/>
              <w:jc w:val="both"/>
              <w:rPr>
                <w:rFonts/>
                <w:color w:val="262626" w:themeColor="text1" w:themeTint="D9"/>
              </w:rPr>
            </w:pPr>
            <w:r>
              <w:t>La última versión de Quantum Maestro 175: Permite la orquestación de Quantum gateway hacia la capacidad y rendimiento de 52 puntos de acceso en cuestión de minutos, a las empresas una flexibilidad elástica con un rendimiento de prevención de amenazas de Terabit por segundo.</w:t>
            </w:r>
          </w:p>
          <w:p>
            <w:pPr>
              <w:ind w:left="-284" w:right="-427"/>
              <w:jc w:val="both"/>
              <w:rPr>
                <w:rFonts/>
                <w:color w:val="262626" w:themeColor="text1" w:themeTint="D9"/>
              </w:rPr>
            </w:pPr>
            <w:r>
              <w:t>Quantum Smart-1: los dispositivos de gestión de la seguridad proporcionan protecciones avanzadas para centros de datos híbridos complejos con operaciones automatizadas y una plataforma ultra escalable.</w:t>
            </w:r>
          </w:p>
          <w:p>
            <w:pPr>
              <w:ind w:left="-284" w:right="-427"/>
              <w:jc w:val="both"/>
              <w:rPr>
                <w:rFonts/>
                <w:color w:val="262626" w:themeColor="text1" w:themeTint="D9"/>
              </w:rPr>
            </w:pPr>
            <w:r>
              <w:t>Para apoyar el nuevo entorno de "trabajo desde cualquier lugar" (del inglés WFA), las organizaciones aceleraron su transición a la nube, lo que las desprotegidas ante los ataques dirigidos a la nube. Check Point ha ampliado las capacidades de su plataforma unificada de seguridad nativa en la nube para ofrecer una protección de las cargas de trabajo centradas en las aplicaciones con Check Point CloudGuard Workload Protection. Esta solución de seguridad en la nube, totalmente automatizada, dota a los profesionales de herramientas para automatizar la seguridad de las aplicaciones, las interfaces de programación de aplicaciones (API) y los microservicios, desde el desarrollo hasta el tiempo de ejecución, a través de una única interfaz.</w:t>
            </w:r>
          </w:p>
          <w:p>
            <w:pPr>
              <w:ind w:left="-284" w:right="-427"/>
              <w:jc w:val="both"/>
              <w:rPr>
                <w:rFonts/>
                <w:color w:val="262626" w:themeColor="text1" w:themeTint="D9"/>
              </w:rPr>
            </w:pPr>
            <w:r>
              <w:t>Check Point ha ampliado su soporte multi-nube a través de la integración de Check Point CloudGuard con Alibaba Cloud, la columna vertebral de inteligencia digital y tecnología de Alibaba Group y líder mundial en cloud computing e inteligencia artificial. Los clientes de Alibaba Cloud se beneficiarán de una mayor seguridad de la red en la nube y mejor capacidad de gestión, mientras que otras organizaciones tienen la oportunidad de aprovechar Alibaba Cloud dentro de sus entornos multi-nube.</w:t>
            </w:r>
          </w:p>
          <w:p>
            <w:pPr>
              <w:ind w:left="-284" w:right="-427"/>
              <w:jc w:val="both"/>
              <w:rPr>
                <w:rFonts/>
                <w:color w:val="262626" w:themeColor="text1" w:themeTint="D9"/>
              </w:rPr>
            </w:pPr>
            <w:r>
              <w:t>Alianzas y clientesA lo largo del trimestre, Check Point demostró su continuo compromiso de ofrecer educación y formación en ciberseguridad a todos los niveles. En mayo, Check Point lanzó Global Cloud Academy Education con sus Platinum Elite ATC Partners - Arrow Electronics, Red Education y Westcon Security. Check Point es el primer proveedor de soluciones de seguridad que aborda la brecha de conocimiento en la industria ofreciendo un programa de educación certificado y especializado en seguridad en la nube a nivel mundial.</w:t>
            </w:r>
          </w:p>
          <w:p>
            <w:pPr>
              <w:ind w:left="-284" w:right="-427"/>
              <w:jc w:val="both"/>
              <w:rPr>
                <w:rFonts/>
                <w:color w:val="262626" w:themeColor="text1" w:themeTint="D9"/>
              </w:rPr>
            </w:pPr>
            <w:r>
              <w:t>En abril, Check Point Software introdujo nuevas iniciativas en su modelo de ventas de canal para acelerar aún más los beneficios y las ganancias para los socios. Las cuatro nuevas iniciativas del Programa de Crecimiento de Socios de Check Point aumentan aún más el valor para los socios y aceleran su acceso a los beneficios a través de una colaboración más estrecha con Check Point.</w:t>
            </w:r>
          </w:p>
          <w:p>
            <w:pPr>
              <w:ind w:left="-284" w:right="-427"/>
              <w:jc w:val="both"/>
              <w:rPr>
                <w:rFonts/>
                <w:color w:val="262626" w:themeColor="text1" w:themeTint="D9"/>
              </w:rPr>
            </w:pPr>
            <w:r>
              <w:t>En julio, Check Point Software se convirtió en patrocinador del nuevo centro de experiencia inmersiva de Industria 4.0 de Deloitte, con sede en Wichita. El patrocinio identifica la necesidad de la ciberseguridad como un componente central de cualquier fábrica inteligente segura y permite el acceso de los clientes de Check Point a experimentar métodos y tecnologías de fabricación avanzada en el corazón de la transformación digital.</w:t>
            </w:r>
          </w:p>
          <w:p>
            <w:pPr>
              <w:ind w:left="-284" w:right="-427"/>
              <w:jc w:val="both"/>
              <w:rPr>
                <w:rFonts/>
                <w:color w:val="262626" w:themeColor="text1" w:themeTint="D9"/>
              </w:rPr>
            </w:pPr>
            <w:r>
              <w:t>Investigación y ciberseguridadLos ataques de ransomware siguen aumentando, alcanzando un incremento del 93% año tras año: Check Point Research (CPR) publicó las tendencias globales de ransomware, incluyendo los ataques por organizaciones eindustria y las tendencias regionales de ataques. CPR descubrió que el número medio de ataques de ransomware cada semana ha aumentado un 20% en los últimos dos meses, un 41% en los últimos seis meses y un 93% en los últimos 12 meses. El reciente ataque a un oleoducto estadounidense es la confirmación de que la aceleración de los sofisticados ataques de ransomware continúa. Tras este ataque, Check Point Research advirtió de una nueva amenaza de ransomware llamada triple extorsión.</w:t>
            </w:r>
          </w:p>
          <w:p>
            <w:pPr>
              <w:ind w:left="-284" w:right="-427"/>
              <w:jc w:val="both"/>
              <w:rPr>
                <w:rFonts/>
                <w:color w:val="262626" w:themeColor="text1" w:themeTint="D9"/>
              </w:rPr>
            </w:pPr>
            <w:r>
              <w:t>Vulnerabilidades en aplicaciones e infraestructurasLos fallos de seguridad en la plataforma de Atlassian, robo decuentas en un solo clic: Check Point Research (CPR) identificó fallos de seguridad en Atlassian, la plataforma de colaboración y productividad con 180.000 clientes en todo el mundo. Con un solo clic, un atacante podría haber utilizado los fallos para hacerse con las cuentas y controlar algunas de las aplicaciones de Atlassian, como Jira y Confluence.</w:t>
            </w:r>
          </w:p>
          <w:p>
            <w:pPr>
              <w:ind w:left="-284" w:right="-427"/>
              <w:jc w:val="both"/>
              <w:rPr>
                <w:rFonts/>
                <w:color w:val="262626" w:themeColor="text1" w:themeTint="D9"/>
              </w:rPr>
            </w:pPr>
            <w:r>
              <w:t>Se encontraron cuatro vulnerabilidades de seguridad en Microsoft Office: cuatro vulnerabilidades de seguridad afectaron a productos de la suite Microsoft Office, incluyendo Excel y Office online. Si se explotasen, las vulnerabilidades otorgarían al atacante la capacidad de ejecutar código a través de documentos de Office maliciosos, como Word (.DOCX), Excel (.XLS) y Outlook (.EML). Las vulnerabilidades son el resultado de errores de análisis sintáctico-cometidos en el código heredado que se encuentra en los formatos de archivo de Excel95, lo que hace pensar a los investigadores que los fallos de seguridad existen desde hace varios años.</w:t>
            </w:r>
          </w:p>
          <w:p>
            <w:pPr>
              <w:ind w:left="-284" w:right="-427"/>
              <w:jc w:val="both"/>
              <w:rPr>
                <w:rFonts/>
                <w:color w:val="262626" w:themeColor="text1" w:themeTint="D9"/>
              </w:rPr>
            </w:pPr>
            <w:r>
              <w:t>Una mala configuración de los servicios en la nube de terceros expuso los datos de más de 100 millones de usuarios: después de examinar 23 aplicaciones de Android en Google Play, Check Point descubrió que los desarrolladores de aplicaciones móviles han expuesto los datos personales de más de 100 millones de usuarios a través de una variedad de configuraciones erróneas de servicios en la nube de terceros. Los datos personales incluían correos electrónicos, mensajes de chat, ubicación, contraseñas y fotos que, en manos de los hackers, podrían dar lugar a fraudes y robos de identidad.</w:t>
            </w:r>
          </w:p>
          <w:p>
            <w:pPr>
              <w:ind w:left="-284" w:right="-427"/>
              <w:jc w:val="both"/>
              <w:rPr>
                <w:rFonts/>
                <w:color w:val="262626" w:themeColor="text1" w:themeTint="D9"/>
              </w:rPr>
            </w:pPr>
            <w:r>
              <w:t>Se detectaron 5 millones de registros de información personal identificable en un servicio de AWS debido a un error de los usuarios: mediante el análisis y la enumeración de los documentos públicos de AWS Systems Manager (SSM), CPR recuperó más de cinco millones de registros de información personal identificable y transacciones de tarjetas de crédito de empresas, entre ellas las de un fabricante mundial de ropa deportiva.</w:t>
            </w:r>
          </w:p>
          <w:p>
            <w:pPr>
              <w:ind w:left="-284" w:right="-427"/>
              <w:jc w:val="both"/>
              <w:rPr>
                <w:rFonts/>
                <w:color w:val="262626" w:themeColor="text1" w:themeTint="D9"/>
              </w:rPr>
            </w:pPr>
            <w:r>
              <w:t>La privacidad de los usuarios de Android está en riesgo cuando Check Point Research identifica una vulnerabilidad en los módems de estación móvil de Qualcomm: Check Point Research (CPR) encontró una vulnerabilidad de seguridad en el módem de estación móvil (MSM) de Qualcomm, el chip responsable de la comunicación móvil de casi el 40% de los teléfonos del mundo. La vulnerabilidad habría permitido a un atacante utilizar el propio sistema operativo Android como punto de entrada para inyectar código malicioso e invisible en los teléfonos, lo que le permitiría acceder a los mensajes SMS y al audio de las conversaciones telefónicas.</w:t>
            </w:r>
          </w:p>
          <w:p>
            <w:pPr>
              <w:ind w:left="-284" w:right="-427"/>
              <w:jc w:val="both"/>
              <w:rPr>
                <w:rFonts/>
                <w:color w:val="262626" w:themeColor="text1" w:themeTint="D9"/>
              </w:rPr>
            </w:pPr>
            <w:r>
              <w:t>Investigación de Malware y CampañasLos ciberdelincuentes van tras los compradores del Amazon Prime Day: los mismos que se hicieron pasar por la marca Amazon antes del evento anual de compras para engañar a los consumidores y robarles sus direcciones de correo electrónico, datos de pago y contraseñas. En el período previo al Amazon Prime Day 2021, casi el 80% de los dominios que contenían la palabra "Amazon" eran potencialmente peligrosos.</w:t>
            </w:r>
          </w:p>
          <w:p>
            <w:pPr>
              <w:ind w:left="-284" w:right="-427"/>
              <w:jc w:val="both"/>
              <w:rPr>
                <w:rFonts/>
                <w:color w:val="262626" w:themeColor="text1" w:themeTint="D9"/>
              </w:rPr>
            </w:pPr>
            <w:r>
              <w:t>El nuevo RAT  and #39;ToxicEye and #39; es el último en utilizar Telegram para el mando y control: Existe una creciente amenaza cibernética en la que los hackers utilizan Telegram, la app de mensajería instantánea con más de 500 millones de usuarios activos, como sistema de mando y control para distribuir malware en las organizaciones. Incluso cuando Telegram no está instalado o no se utiliza, el sistema permite a los hackers enviar comandos y operaciones maliciosas de forma remota a través de la aplicación de mensajería instantánea.</w:t>
            </w:r>
          </w:p>
          <w:p>
            <w:pPr>
              <w:ind w:left="-284" w:right="-427"/>
              <w:jc w:val="both"/>
              <w:rPr>
                <w:rFonts/>
                <w:color w:val="262626" w:themeColor="text1" w:themeTint="D9"/>
              </w:rPr>
            </w:pPr>
            <w:r>
              <w:t>Reconocimientos e iniciativasSeguimos centrándonos en la seguridad a través de la innovación, la investigación del sector y el reconocimiento, entre otros:</w:t>
            </w:r>
          </w:p>
          <w:p>
            <w:pPr>
              <w:ind w:left="-284" w:right="-427"/>
              <w:jc w:val="both"/>
              <w:rPr>
                <w:rFonts/>
                <w:color w:val="262626" w:themeColor="text1" w:themeTint="D9"/>
              </w:rPr>
            </w:pPr>
            <w:r>
              <w:t>Las soluciones Secure Access Service Edge (SASE) son el futuro.Una encuesta revela las prioridades de seguridad de las organizaciones para el trabajo híbrido: Check Pointcompartió los resultados de una encuesta que muestra cómo la pandemia ha impactado en las empresas, particularmente cuando se trata de estrategias de TI y seguridad. La encuesta realizada a 450 profesionales de TI y de seguridad reveló el impacto que la pandemia ha tenido en las organizaciones, así como sus prioridades de seguridad para el trabajo híbrido</w:t>
            </w:r>
          </w:p>
          <w:p>
            <w:pPr>
              <w:ind w:left="-284" w:right="-427"/>
              <w:jc w:val="both"/>
              <w:rPr>
                <w:rFonts/>
                <w:color w:val="262626" w:themeColor="text1" w:themeTint="D9"/>
              </w:rPr>
            </w:pPr>
            <w:r>
              <w:t>Check Point Software Technologies es reconocida como ganadora del premio Microsoft Security 20/20 Partner a la integración más transformadora: en la segunda edición de los premios Microsoft Security 20/20, celebrada el 12 de mayo de 2021, se anunciaron los ganadores de los premios en 18 categorías que abarcan la seguridad, el cumplimiento normativo y la identificación. Este año, Check Point Software es el ganador del premio Microsoft Security 20/20 Most Transformative Integration Partner.</w:t>
            </w:r>
          </w:p>
          <w:p>
            <w:pPr>
              <w:ind w:left="-284" w:right="-427"/>
              <w:jc w:val="both"/>
              <w:rPr>
                <w:rFonts/>
                <w:color w:val="262626" w:themeColor="text1" w:themeTint="D9"/>
              </w:rPr>
            </w:pPr>
            <w:r>
              <w:t>Las evaluaciones ATT and CK® de MITRE Engenuity destacan el liderazgo de Check Point Software en seguridad de endpoints: En la evaluación de productos de protección de endpoints de MITRE ATT and CK, Check Point Harmony Endpoint detectó con éxito el 100% de las técnicas únicas utilizadas durante las evaluaciones. Además, Check Point Harmony Endpoint logró el nivel más alto de detección de estos métodos para el 96% de las técnicas únicas utilizadas en las evaluaciones.</w:t>
            </w:r>
          </w:p>
          <w:p>
            <w:pPr>
              <w:ind w:left="-284" w:right="-427"/>
              <w:jc w:val="both"/>
              <w:rPr>
                <w:rFonts/>
                <w:color w:val="262626" w:themeColor="text1" w:themeTint="D9"/>
              </w:rPr>
            </w:pPr>
            <w:r>
              <w:t>Información sobre la Conferencia y el Webcast Check Point organizará una conferencia telefónica con la comunidad de inversores el 26 de julio de 2021, a las 8:30 AM ET/5:30 AM PT. Para escuchar e evento en directo o acceder a la grabación de la conferencia, visita la página web: www.checkpoint.com/ir.</w:t>
            </w:r>
          </w:p>
          <w:p>
            <w:pPr>
              <w:ind w:left="-284" w:right="-427"/>
              <w:jc w:val="both"/>
              <w:rPr>
                <w:rFonts/>
                <w:color w:val="262626" w:themeColor="text1" w:themeTint="D9"/>
              </w:rPr>
            </w:pPr>
            <w:r>
              <w:t>Programa de participación en la conferencia de inversores del tercer trimestre:</w:t>
            </w:r>
          </w:p>
          <w:p>
            <w:pPr>
              <w:ind w:left="-284" w:right="-427"/>
              <w:jc w:val="both"/>
              <w:rPr>
                <w:rFonts/>
                <w:color w:val="262626" w:themeColor="text1" w:themeTint="D9"/>
              </w:rPr>
            </w:pPr>
            <w:r>
              <w:t>Oppenheimer 24th Annual Technology, Internet  and  Communications Conference</w:t>
            </w:r>
          </w:p>
          <w:p>
            <w:pPr>
              <w:ind w:left="-284" w:right="-427"/>
              <w:jc w:val="both"/>
              <w:rPr>
                <w:rFonts/>
                <w:color w:val="262626" w:themeColor="text1" w:themeTint="D9"/>
              </w:rPr>
            </w:pPr>
            <w:r>
              <w:t>9 de agosto de 2021 - Virtual 1x1 and #39;s</w:t>
            </w:r>
          </w:p>
          <w:p>
            <w:pPr>
              <w:ind w:left="-284" w:right="-427"/>
              <w:jc w:val="both"/>
              <w:rPr>
                <w:rFonts/>
                <w:color w:val="262626" w:themeColor="text1" w:themeTint="D9"/>
              </w:rPr>
            </w:pPr>
            <w:r>
              <w:t>Conferencia de Inversores Nasdaq Virtual Asia</w:t>
            </w:r>
          </w:p>
          <w:p>
            <w:pPr>
              <w:ind w:left="-284" w:right="-427"/>
              <w:jc w:val="both"/>
              <w:rPr>
                <w:rFonts/>
                <w:color w:val="262626" w:themeColor="text1" w:themeTint="D9"/>
              </w:rPr>
            </w:pPr>
            <w:r>
              <w:t>9-10 de agosto de 2021 - Virtual 1x1 and #39;s</w:t>
            </w:r>
          </w:p>
          <w:p>
            <w:pPr>
              <w:ind w:left="-284" w:right="-427"/>
              <w:jc w:val="both"/>
              <w:rPr>
                <w:rFonts/>
                <w:color w:val="262626" w:themeColor="text1" w:themeTint="D9"/>
              </w:rPr>
            </w:pPr>
            <w:r>
              <w:t>Foro virtual de liderazgo tecnológico de KeyBanc</w:t>
            </w:r>
          </w:p>
          <w:p>
            <w:pPr>
              <w:ind w:left="-284" w:right="-427"/>
              <w:jc w:val="both"/>
              <w:rPr>
                <w:rFonts/>
                <w:color w:val="262626" w:themeColor="text1" w:themeTint="D9"/>
              </w:rPr>
            </w:pPr>
            <w:r>
              <w:t>11 de agosto de 2021 - Virtual Fireside Chat  and  1x1 and #39;s</w:t>
            </w:r>
          </w:p>
          <w:p>
            <w:pPr>
              <w:ind w:left="-284" w:right="-427"/>
              <w:jc w:val="both"/>
              <w:rPr>
                <w:rFonts/>
                <w:color w:val="262626" w:themeColor="text1" w:themeTint="D9"/>
              </w:rPr>
            </w:pPr>
            <w:r>
              <w:t>Cumbre Tecnológica Virtual BMO 2021</w:t>
            </w:r>
          </w:p>
          <w:p>
            <w:pPr>
              <w:ind w:left="-284" w:right="-427"/>
              <w:jc w:val="both"/>
              <w:rPr>
                <w:rFonts/>
                <w:color w:val="262626" w:themeColor="text1" w:themeTint="D9"/>
              </w:rPr>
            </w:pPr>
            <w:r>
              <w:t>24 de agosto de 2021 - Fireside Chat virtual y 1x1 and #39;s</w:t>
            </w:r>
          </w:p>
          <w:p>
            <w:pPr>
              <w:ind w:left="-284" w:right="-427"/>
              <w:jc w:val="both"/>
              <w:rPr>
                <w:rFonts/>
                <w:color w:val="262626" w:themeColor="text1" w:themeTint="D9"/>
              </w:rPr>
            </w:pPr>
            <w:r>
              <w:t>Conferencia Tecnológica Deutsche Bank 2021</w:t>
            </w:r>
          </w:p>
          <w:p>
            <w:pPr>
              <w:ind w:left="-284" w:right="-427"/>
              <w:jc w:val="both"/>
              <w:rPr>
                <w:rFonts/>
                <w:color w:val="262626" w:themeColor="text1" w:themeTint="D9"/>
              </w:rPr>
            </w:pPr>
            <w:r>
              <w:t>9-10 de septiembre de 2021 - 1x1 físico</w:t>
            </w:r>
          </w:p>
          <w:p>
            <w:pPr>
              <w:ind w:left="-284" w:right="-427"/>
              <w:jc w:val="both"/>
              <w:rPr>
                <w:rFonts/>
                <w:color w:val="262626" w:themeColor="text1" w:themeTint="D9"/>
              </w:rPr>
            </w:pPr>
            <w:r>
              <w:t>Conferencia virtual de tecnología global Citi 2021</w:t>
            </w:r>
          </w:p>
          <w:p>
            <w:pPr>
              <w:ind w:left="-284" w:right="-427"/>
              <w:jc w:val="both"/>
              <w:rPr>
                <w:rFonts/>
                <w:color w:val="262626" w:themeColor="text1" w:themeTint="D9"/>
              </w:rPr>
            </w:pPr>
            <w:r>
              <w:t>13 de septiembre de 2021 - 1x1 virtual</w:t>
            </w:r>
          </w:p>
          <w:p>
            <w:pPr>
              <w:ind w:left="-284" w:right="-427"/>
              <w:jc w:val="both"/>
              <w:rPr>
                <w:rFonts/>
                <w:color w:val="262626" w:themeColor="text1" w:themeTint="D9"/>
              </w:rPr>
            </w:pPr>
            <w:r>
              <w:t>Conferencia Virtual de Tecnología Global 2021 de Piper Sandler</w:t>
            </w:r>
          </w:p>
          <w:p>
            <w:pPr>
              <w:ind w:left="-284" w:right="-427"/>
              <w:jc w:val="both"/>
              <w:rPr>
                <w:rFonts/>
                <w:color w:val="262626" w:themeColor="text1" w:themeTint="D9"/>
              </w:rPr>
            </w:pPr>
            <w:r>
              <w:t>14 de septiembre de 2021 - 1x1 virtual</w:t>
            </w:r>
          </w:p>
          <w:p>
            <w:pPr>
              <w:ind w:left="-284" w:right="-427"/>
              <w:jc w:val="both"/>
              <w:rPr>
                <w:rFonts/>
                <w:color w:val="262626" w:themeColor="text1" w:themeTint="D9"/>
              </w:rPr>
            </w:pPr>
            <w:r>
              <w:t>Conferencia virtual de tecnología de Jefferies 2021</w:t>
            </w:r>
          </w:p>
          <w:p>
            <w:pPr>
              <w:ind w:left="-284" w:right="-427"/>
              <w:jc w:val="both"/>
              <w:rPr>
                <w:rFonts/>
                <w:color w:val="262626" w:themeColor="text1" w:themeTint="D9"/>
              </w:rPr>
            </w:pPr>
            <w:r>
              <w:t>14 de septiembre de 2021 - Virtual 1x1 and #39;s</w:t>
            </w:r>
          </w:p>
          <w:p>
            <w:pPr>
              <w:ind w:left="-284" w:right="-427"/>
              <w:jc w:val="both"/>
              <w:rPr>
                <w:rFonts/>
                <w:color w:val="262626" w:themeColor="text1" w:themeTint="D9"/>
              </w:rPr>
            </w:pPr>
            <w:r>
              <w:t>Conferencia virtual de Morningstar Management Behind The Moat</w:t>
            </w:r>
          </w:p>
          <w:p>
            <w:pPr>
              <w:ind w:left="-284" w:right="-427"/>
              <w:jc w:val="both"/>
              <w:rPr>
                <w:rFonts/>
                <w:color w:val="262626" w:themeColor="text1" w:themeTint="D9"/>
              </w:rPr>
            </w:pPr>
            <w:r>
              <w:t>15 de septiembre de 2021 - Virtual 1x1 and #39;s</w:t>
            </w:r>
          </w:p>
          <w:p>
            <w:pPr>
              <w:ind w:left="-284" w:right="-427"/>
              <w:jc w:val="both"/>
              <w:rPr>
                <w:rFonts/>
                <w:color w:val="262626" w:themeColor="text1" w:themeTint="D9"/>
              </w:rPr>
            </w:pPr>
            <w:r>
              <w:t>Los miembros del equipo directivo de Check Point presentarán en estas conferencias las últimas estrategias e iniciativas de la compañía. Las presentaciones de la conferencia de Check Point estarán disponibles vía webcast en el sitio web de la compañía. Para acceder a estas presentaciones y a la información más actualizada, visita el sitio web de la compañía en www.checkpoint.com/ir. El programa está sujeto a cambios.</w:t>
            </w:r>
          </w:p>
          <w:p>
            <w:pPr>
              <w:ind w:left="-284" w:right="-427"/>
              <w:jc w:val="both"/>
              <w:rPr>
                <w:rFonts/>
                <w:color w:val="262626" w:themeColor="text1" w:themeTint="D9"/>
              </w:rPr>
            </w:pPr>
            <w:r>
              <w:t>Seguir a Check Point Software a través de:Blog: https://blog.checkpoint.com/Twitter España: @CheckPointSpainFacebook: https://www.facebook.com/checkpointsoftwareLinkedIn España: https://www.linkedin.com/showcase/check-point-software-espana/YouTube: https://www.youtube.com/user/CPGlobal</w:t>
            </w:r>
          </w:p>
          <w:p>
            <w:pPr>
              <w:ind w:left="-284" w:right="-427"/>
              <w:jc w:val="both"/>
              <w:rPr>
                <w:rFonts/>
                <w:color w:val="262626" w:themeColor="text1" w:themeTint="D9"/>
              </w:rPr>
            </w:pPr>
            <w:r>
              <w:t>Acerca de Check Point Software Technologies Ltd.Check Point Software Technologies Ltd. es un proveedor líder de soluciones de ciberseguridad para Gobiernos y empresas corporativas a nivel mundial. La cartera de soluciones de Check Point Infinity protege a las empresas y organizaciones públicas de los ciberataques de quinta generación con una tasa de captura líder en la industria de malware, ransomware y otras amenazas. Check Point Infinity se compone de tres pilares fundamentales que ofrecen una seguridad sin compromisos y una prevención de amenazas de quinta generación en todos los entornos empresariales: Check Point Harmony, para usuarios remotos; Check Point CloudGuard, para proteger automáticamente la nube; y Check Point Quantum, para proteger los perímetros de la red y los centros de datos, todo ello controlado por la gestión de seguridad unificada más completa e intuitiva del sector. Check Point Software protege a más de 100.000 empresas de todos los tamaños.</w:t>
            </w:r>
          </w:p>
          <w:p>
            <w:pPr>
              <w:ind w:left="-284" w:right="-427"/>
              <w:jc w:val="both"/>
              <w:rPr>
                <w:rFonts/>
                <w:color w:val="262626" w:themeColor="text1" w:themeTint="D9"/>
              </w:rPr>
            </w:pPr>
            <w:r>
              <w:t>©2021 Check Point Software Technologies Ltd. Todos los derechos reservados.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w:t>
      </w:r>
    </w:p>
    <w:p w:rsidR="00C31F72" w:rsidRDefault="00C31F72" w:rsidP="00AB63FE">
      <w:pPr>
        <w:pStyle w:val="Sinespaciado"/>
        <w:spacing w:line="276" w:lineRule="auto"/>
        <w:ind w:left="-284"/>
        <w:rPr>
          <w:rFonts w:ascii="Arial" w:hAnsi="Arial" w:cs="Arial"/>
        </w:rPr>
      </w:pPr>
      <w:r>
        <w:rPr>
          <w:rFonts w:ascii="Arial" w:hAnsi="Arial" w:cs="Arial"/>
        </w:rPr>
        <w:t>eVerythink PR Boutique</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https://www.notasdeprensa.es/check-point-software-technologies-anuncia-sus_7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