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Check Point Software presenta sus resultados financieros del cuarto trimestre y anuales de 2023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Check Point Software ha anunciado sus resultados financieros para el cuarto trimestre, así como los resultados anuales a 31 de diciembre de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Check Point® Software Technologies Ltd. (NASDAQ: CHKP), un proveedor líder de soluciones de ciberseguridad a nivel mundial, ha anunciado sus resultados financieros para el cuarto trimestre, así como los resultados anuales a 31 de diciembre de 2023.</w:t>
            </w:r>
          </w:p>
          <w:p>
            <w:pPr>
              <w:ind w:left="-284" w:right="-427"/>
              <w:jc w:val="both"/>
              <w:rPr>
                <w:rFonts/>
                <w:color w:val="262626" w:themeColor="text1" w:themeTint="D9"/>
              </w:rPr>
            </w:pPr>
            <w:r>
              <w:t>Cuarto trimestre 2023:</w:t>
            </w:r>
          </w:p>
          <w:p>
            <w:pPr>
              <w:ind w:left="-284" w:right="-427"/>
              <w:jc w:val="both"/>
              <w:rPr>
                <w:rFonts/>
                <w:color w:val="262626" w:themeColor="text1" w:themeTint="D9"/>
              </w:rPr>
            </w:pPr>
            <w:r>
              <w:t>Ingresos totales: 664 millones de dólares, que supone el incremento del 4% interanual.</w:t>
            </w:r>
          </w:p>
          <w:p>
            <w:pPr>
              <w:ind w:left="-284" w:right="-427"/>
              <w:jc w:val="both"/>
              <w:rPr>
                <w:rFonts/>
                <w:color w:val="262626" w:themeColor="text1" w:themeTint="D9"/>
              </w:rPr>
            </w:pPr>
            <w:r>
              <w:t>Ingresos por suscripciones de seguridad: 266 millones de dólares, un aumento del 15% con respecto al año anterior.</w:t>
            </w:r>
          </w:p>
          <w:p>
            <w:pPr>
              <w:ind w:left="-284" w:right="-427"/>
              <w:jc w:val="both"/>
              <w:rPr>
                <w:rFonts/>
                <w:color w:val="262626" w:themeColor="text1" w:themeTint="D9"/>
              </w:rPr>
            </w:pPr>
            <w:r>
              <w:t>Ingresos diferidos: 1.908 millones de dólares, por lo que registra una subida del 2% interanual.</w:t>
            </w:r>
          </w:p>
          <w:p>
            <w:pPr>
              <w:ind w:left="-284" w:right="-427"/>
              <w:jc w:val="both"/>
              <w:rPr>
                <w:rFonts/>
                <w:color w:val="262626" w:themeColor="text1" w:themeTint="D9"/>
              </w:rPr>
            </w:pPr>
            <w:r>
              <w:t>Ingresos de explotación GAAP: 252 millones de dólares, que representan un 38% de los ingresos.</w:t>
            </w:r>
          </w:p>
          <w:p>
            <w:pPr>
              <w:ind w:left="-284" w:right="-427"/>
              <w:jc w:val="both"/>
              <w:rPr>
                <w:rFonts/>
                <w:color w:val="262626" w:themeColor="text1" w:themeTint="D9"/>
              </w:rPr>
            </w:pPr>
            <w:r>
              <w:t>Ingresos de explotación no GAAP: 309 millones de dólares, es decir, un 47% de los ingresos.</w:t>
            </w:r>
          </w:p>
          <w:p>
            <w:pPr>
              <w:ind w:left="-284" w:right="-427"/>
              <w:jc w:val="both"/>
              <w:rPr>
                <w:rFonts/>
                <w:color w:val="262626" w:themeColor="text1" w:themeTint="D9"/>
              </w:rPr>
            </w:pPr>
            <w:r>
              <w:t>Beneficio por acción GAAP: 2,15 dólares, que refleja un incremento del 2% interanual.</w:t>
            </w:r>
          </w:p>
          <w:p>
            <w:pPr>
              <w:ind w:left="-284" w:right="-427"/>
              <w:jc w:val="both"/>
              <w:rPr>
                <w:rFonts/>
                <w:color w:val="262626" w:themeColor="text1" w:themeTint="D9"/>
              </w:rPr>
            </w:pPr>
            <w:r>
              <w:t>Beneficio por acción no GAAP: 2,57 dólares, que se traduce en un incremento del 5% interanual.</w:t>
            </w:r>
          </w:p>
          <w:p>
            <w:pPr>
              <w:ind w:left="-284" w:right="-427"/>
              <w:jc w:val="both"/>
              <w:rPr>
                <w:rFonts/>
                <w:color w:val="262626" w:themeColor="text1" w:themeTint="D9"/>
              </w:rPr>
            </w:pPr>
            <w:r>
              <w:t>Año 2023:</w:t>
            </w:r>
          </w:p>
          <w:p>
            <w:pPr>
              <w:ind w:left="-284" w:right="-427"/>
              <w:jc w:val="both"/>
              <w:rPr>
                <w:rFonts/>
                <w:color w:val="262626" w:themeColor="text1" w:themeTint="D9"/>
              </w:rPr>
            </w:pPr>
            <w:r>
              <w:t>Ingresos totales: 2.415 millones de dólares, lo que supone un incremento del 4% interanual.</w:t>
            </w:r>
          </w:p>
          <w:p>
            <w:pPr>
              <w:ind w:left="-284" w:right="-427"/>
              <w:jc w:val="both"/>
              <w:rPr>
                <w:rFonts/>
                <w:color w:val="262626" w:themeColor="text1" w:themeTint="D9"/>
              </w:rPr>
            </w:pPr>
            <w:r>
              <w:t>Ingresos por suscripciones de seguridad: 981 millones de dólares, un aumento del 14% interanual.</w:t>
            </w:r>
          </w:p>
          <w:p>
            <w:pPr>
              <w:ind w:left="-284" w:right="-427"/>
              <w:jc w:val="both"/>
              <w:rPr>
                <w:rFonts/>
                <w:color w:val="262626" w:themeColor="text1" w:themeTint="D9"/>
              </w:rPr>
            </w:pPr>
            <w:r>
              <w:t>Beneficios por acción GAAP: 7,10 dólares, que refleja un incremento del 13% interanual.</w:t>
            </w:r>
          </w:p>
          <w:p>
            <w:pPr>
              <w:ind w:left="-284" w:right="-427"/>
              <w:jc w:val="both"/>
              <w:rPr>
                <w:rFonts/>
                <w:color w:val="262626" w:themeColor="text1" w:themeTint="D9"/>
              </w:rPr>
            </w:pPr>
            <w:r>
              <w:t>Beneficios por acción no GAAP: 8,42 dólares, un aumento del 14% interanual.</w:t>
            </w:r>
          </w:p>
          <w:p>
            <w:pPr>
              <w:ind w:left="-284" w:right="-427"/>
              <w:jc w:val="both"/>
              <w:rPr>
                <w:rFonts/>
                <w:color w:val="262626" w:themeColor="text1" w:themeTint="D9"/>
              </w:rPr>
            </w:pPr>
            <w:r>
              <w:t>"Check Point Software ha finalizado el año con unos sólidos resultados financieros, logrando un crecimiento del 14% en beneficios por acción non-GAAP, el más alto de una década. Esto se ha complementado con un beneficio operativo no-GAAP del 45%, uno de los más altos registrados por las empresas públicas. La plataforma de seguridad Infinity, líder del sector y basada en IA, ha seguido impulsando la demanda de los clientes y ha reforzado el crecimiento del 15% en los ingresos por suscripciones en materia de seguridad durante el trimestre. La división de I+D sigue ofreciendo índices de prevención de amenazas líderes en el sector y tecnologías de IA innovadoras. Mientras que el equipo de ventas ha logrado un cambio radical en la captación de clientes, con un crecimiento de dos dígitos en nuevos proyectos en el cuarto trimestre", declaró Gil Shwed, Fundador y CEO de Check Point Software.</w:t>
            </w:r>
          </w:p>
          <w:p>
            <w:pPr>
              <w:ind w:left="-284" w:right="-427"/>
              <w:jc w:val="both"/>
              <w:rPr>
                <w:rFonts/>
                <w:color w:val="262626" w:themeColor="text1" w:themeTint="D9"/>
              </w:rPr>
            </w:pPr>
            <w:r>
              <w:t>"En 2023, Check Point Software cumplió 30 años. Ha experimentado 30 años de crecimiento y alcanzando máximos históricos en casi todos los parámetros cada año. Cuenta con una sólida plataforma de seguridad, con un equipo competente y una ejecución comprobada. La idea es iniciar la transición hacia el cargo de presidente ejecutivo desde el que seguiré vinculado con Check Point Software y con la industria de la ciberseguridad. Está iniciando el proceso de sucesión para contratar a un nuevo CEO, y una vez completado pasaré a ejercer el nuevo cargo. Es alentador comenzar el 2024 con un excelente catálogo tecnológico y con un gran equipo a nivel internacional que está listo para ofrecer un futuro brillante y seguro para los clientes", concluyó Gil Shwed.</w:t>
            </w:r>
          </w:p>
          <w:p>
            <w:pPr>
              <w:ind w:left="-284" w:right="-427"/>
              <w:jc w:val="both"/>
              <w:rPr>
                <w:rFonts/>
                <w:color w:val="262626" w:themeColor="text1" w:themeTint="D9"/>
              </w:rPr>
            </w:pPr>
            <w:r>
              <w:t>Principales resultados financieros del cuarto trimestre de 2023</w:t>
            </w:r>
          </w:p>
          <w:p>
            <w:pPr>
              <w:ind w:left="-284" w:right="-427"/>
              <w:jc w:val="both"/>
              <w:rPr>
                <w:rFonts/>
                <w:color w:val="262626" w:themeColor="text1" w:themeTint="D9"/>
              </w:rPr>
            </w:pPr>
            <w:r>
              <w:t>Ingresos totales: 664 millones de dólares, frente a 638 millones en el mismo periodo de 2022, lo que representa un crecimiento interanual del 4%.</w:t>
            </w:r>
          </w:p>
          <w:p>
            <w:pPr>
              <w:ind w:left="-284" w:right="-427"/>
              <w:jc w:val="both"/>
              <w:rPr>
                <w:rFonts/>
                <w:color w:val="262626" w:themeColor="text1" w:themeTint="D9"/>
              </w:rPr>
            </w:pPr>
            <w:r>
              <w:t>Ingreso de explotación GAAP: 252 millones de dólares, comparado con 254 millones del cuarto trimestre de 2022, lo que representa un 38% y un 40% de los ingresos de 2023 y 2022, respectivamente.</w:t>
            </w:r>
          </w:p>
          <w:p>
            <w:pPr>
              <w:ind w:left="-284" w:right="-427"/>
              <w:jc w:val="both"/>
              <w:rPr>
                <w:rFonts/>
                <w:color w:val="262626" w:themeColor="text1" w:themeTint="D9"/>
              </w:rPr>
            </w:pPr>
            <w:r>
              <w:t>Ingresos de explotación no-GAAP: 309 millones de dólares, que fueron 289 millones en el cuarto trimestre de 2022, que representan el 47% y el 45% de los ingresos en el cuarto trimestre de 2023 y 2022, respectivamente.</w:t>
            </w:r>
          </w:p>
          <w:p>
            <w:pPr>
              <w:ind w:left="-284" w:right="-427"/>
              <w:jc w:val="both"/>
              <w:rPr>
                <w:rFonts/>
                <w:color w:val="262626" w:themeColor="text1" w:themeTint="D9"/>
              </w:rPr>
            </w:pPr>
            <w:r>
              <w:t>Impuestos sobre los beneficios GAAP: 21 millones de dólares frente a 1 millón de dólares en el cuarto trimestre de 2022.</w:t>
            </w:r>
          </w:p>
          <w:p>
            <w:pPr>
              <w:ind w:left="-284" w:right="-427"/>
              <w:jc w:val="both"/>
              <w:rPr>
                <w:rFonts/>
                <w:color w:val="262626" w:themeColor="text1" w:themeTint="D9"/>
              </w:rPr>
            </w:pPr>
            <w:r>
              <w:t>Ingresos netos y beneficio por acción GAAP: ingresos GAAP netos de 249 millones de dólares en comparación con los 270 millones de dólares del cuarto trimestre de 2022. Los beneficios por acción GAAP fueron de 2,15 dólares frente a los 2,20 dólares del mismo periodo en 2022, un 2% de disminución interanual.</w:t>
            </w:r>
          </w:p>
          <w:p>
            <w:pPr>
              <w:ind w:left="-284" w:right="-427"/>
              <w:jc w:val="both"/>
              <w:rPr>
                <w:rFonts/>
                <w:color w:val="262626" w:themeColor="text1" w:themeTint="D9"/>
              </w:rPr>
            </w:pPr>
            <w:r>
              <w:t>Ingresos netos y beneficio por acción no-GAAP: los ingresos netos no-GAAP fueron de 298 millones de dólares en este cuarto trimestre frente a los 301 millones de dólares de 2022. Los beneficios por acción no-GAAP fueron de 2,57 dólares comparado con los 2,45 dólares en el cuarto trimestre de 2022, un 5% de incremento interanual.</w:t>
            </w:r>
          </w:p>
          <w:p>
            <w:pPr>
              <w:ind w:left="-284" w:right="-427"/>
              <w:jc w:val="both"/>
              <w:rPr>
                <w:rFonts/>
                <w:color w:val="262626" w:themeColor="text1" w:themeTint="D9"/>
              </w:rPr>
            </w:pPr>
            <w:r>
              <w:t>Ingresos diferidos: a 31 de diciembre de 2023, los ingresos diferidos fueron de 1.908 millones de dólares versus los 1.878 millones del mismo periodo de 2022, lo que supone un crecimiento interanual del 2%.</w:t>
            </w:r>
          </w:p>
          <w:p>
            <w:pPr>
              <w:ind w:left="-284" w:right="-427"/>
              <w:jc w:val="both"/>
              <w:rPr>
                <w:rFonts/>
                <w:color w:val="262626" w:themeColor="text1" w:themeTint="D9"/>
              </w:rPr>
            </w:pPr>
            <w:r>
              <w:t>Saldos de efectivo, valores negociables y depósitos a corto plazo: 2.960 millones de dólares a 31 de diciembre de 2023, en comparación con los 3.503 millones de dólares del 31 de diciembre de 2022. La disminución del saldo en efectivo se debe principalmente a la utilización de 484 dólares para las adquisiciones de Permiter 81, Atomsec y rmsource en 2023. </w:t>
            </w:r>
          </w:p>
          <w:p>
            <w:pPr>
              <w:ind w:left="-284" w:right="-427"/>
              <w:jc w:val="both"/>
              <w:rPr>
                <w:rFonts/>
                <w:color w:val="262626" w:themeColor="text1" w:themeTint="D9"/>
              </w:rPr>
            </w:pPr>
            <w:r>
              <w:t>Flujo de tesorería: el flujo de tesorería fue de 236 millones de dólares, comparado con los 230 millones de dólares del mismo periodo del año anterior.</w:t>
            </w:r>
          </w:p>
          <w:p>
            <w:pPr>
              <w:ind w:left="-284" w:right="-427"/>
              <w:jc w:val="both"/>
              <w:rPr>
                <w:rFonts/>
                <w:color w:val="262626" w:themeColor="text1" w:themeTint="D9"/>
              </w:rPr>
            </w:pPr>
            <w:r>
              <w:t>Programa de recompra de acciones: durante el cuarto trimestre de 2023, la compañía recompró aproximadamente 2.2 millones de acciones con un coste total de aproximadamente 313 millones de dólares. </w:t>
            </w:r>
          </w:p>
          <w:p>
            <w:pPr>
              <w:ind w:left="-284" w:right="-427"/>
              <w:jc w:val="both"/>
              <w:rPr>
                <w:rFonts/>
                <w:color w:val="262626" w:themeColor="text1" w:themeTint="D9"/>
              </w:rPr>
            </w:pPr>
            <w:r>
              <w:t>Principales resultados financieros de 2023</w:t>
            </w:r>
          </w:p>
          <w:p>
            <w:pPr>
              <w:ind w:left="-284" w:right="-427"/>
              <w:jc w:val="both"/>
              <w:rPr>
                <w:rFonts/>
                <w:color w:val="262626" w:themeColor="text1" w:themeTint="D9"/>
              </w:rPr>
            </w:pPr>
            <w:r>
              <w:t>Ingresos totales: 2.415 millones de dólares, frente a 2.330 millones de 2022, lo que representa un crecimiento interanual del 4%.</w:t>
            </w:r>
          </w:p>
          <w:p>
            <w:pPr>
              <w:ind w:left="-284" w:right="-427"/>
              <w:jc w:val="both"/>
              <w:rPr>
                <w:rFonts/>
                <w:color w:val="262626" w:themeColor="text1" w:themeTint="D9"/>
              </w:rPr>
            </w:pPr>
            <w:r>
              <w:t>Ingreso de explotación GAAP: 899 millones de dólares, comparado con 884 millones de 2022, representando un 37% y 38% de los ingresos de 2023 y 2022, respectivamente.</w:t>
            </w:r>
          </w:p>
          <w:p>
            <w:pPr>
              <w:ind w:left="-284" w:right="-427"/>
              <w:jc w:val="both"/>
              <w:rPr>
                <w:rFonts/>
                <w:color w:val="262626" w:themeColor="text1" w:themeTint="D9"/>
              </w:rPr>
            </w:pPr>
            <w:r>
              <w:t>Ingresos de explotación no-GAAP: 1.079 millones de dólares, en comparativa con los 1.039 millones de 2022, que representan el 45% de los ingresos en 2023 y 2022.</w:t>
            </w:r>
          </w:p>
          <w:p>
            <w:pPr>
              <w:ind w:left="-284" w:right="-427"/>
              <w:jc w:val="both"/>
              <w:rPr>
                <w:rFonts/>
                <w:color w:val="262626" w:themeColor="text1" w:themeTint="D9"/>
              </w:rPr>
            </w:pPr>
            <w:r>
              <w:t>Impuestos sobre los beneficios GAAP: 135 millones de dólares frente a 131 millones de dólares en 2021.</w:t>
            </w:r>
          </w:p>
          <w:p>
            <w:pPr>
              <w:ind w:left="-284" w:right="-427"/>
              <w:jc w:val="both"/>
              <w:rPr>
                <w:rFonts/>
                <w:color w:val="262626" w:themeColor="text1" w:themeTint="D9"/>
              </w:rPr>
            </w:pPr>
            <w:r>
              <w:t>Ingresos netos y beneficio por acción GAAP: ingresos GAAP netos de 840 millones de dólares en comparación con los 797 millones de dólares de 2022. Los beneficios por acción GAAP fueron de 7,10 dólares frente a los 6,31 dólares en 2022, con un 13% de aumento interanual.</w:t>
            </w:r>
          </w:p>
          <w:p>
            <w:pPr>
              <w:ind w:left="-284" w:right="-427"/>
              <w:jc w:val="both"/>
              <w:rPr>
                <w:rFonts/>
                <w:color w:val="262626" w:themeColor="text1" w:themeTint="D9"/>
              </w:rPr>
            </w:pPr>
            <w:r>
              <w:t>Ingresos netos y beneficio por acción no-GAAP: los ingresos netos no-GAAP fueron de 997 millones de dólares frente a los 935 millones de dólares de 2022. Los beneficios por acción no-GAAP fueron de 8,42 dólares comparado con los 7,40 dólares de 2022, un 14% de incremento interanual.</w:t>
            </w:r>
          </w:p>
          <w:p>
            <w:pPr>
              <w:ind w:left="-284" w:right="-427"/>
              <w:jc w:val="both"/>
              <w:rPr>
                <w:rFonts/>
                <w:color w:val="262626" w:themeColor="text1" w:themeTint="D9"/>
              </w:rPr>
            </w:pPr>
            <w:r>
              <w:t>Flujo de tesorería: el flujo de tesorería fue de 1.035 millones de dólares, comparado con los 1.080 millones de dólares del año anterior. En el 2023 se incluyeron 25 millones de dólares como costes de adquisiciones y 39 millones de dólares de las operaciones de cobertura de divisas, frente a los 8 millones de dólares y 80 millones de dólares de 2022. En el resto de los costes de adquisición se incluye en el flujo de tesorería procedente de actividades de inversión.</w:t>
            </w:r>
          </w:p>
          <w:p>
            <w:pPr>
              <w:ind w:left="-284" w:right="-427"/>
              <w:jc w:val="both"/>
              <w:rPr>
                <w:rFonts/>
                <w:color w:val="262626" w:themeColor="text1" w:themeTint="D9"/>
              </w:rPr>
            </w:pPr>
            <w:r>
              <w:t>Programa de recompra de acciones: durante 2023, la compañía recompró aproximadamente 9,9 millones de acciones con un coste total de aproximadamente 1.288 millones de dólares.</w:t>
            </w:r>
          </w:p>
          <w:p>
            <w:pPr>
              <w:ind w:left="-284" w:right="-427"/>
              <w:jc w:val="both"/>
              <w:rPr>
                <w:rFonts/>
                <w:color w:val="262626" w:themeColor="text1" w:themeTint="D9"/>
              </w:rPr>
            </w:pPr>
            <w:r>
              <w:t>Información sobre la videoconferenciaCheck Point Software ha organizado una videoconferencia con la comunidad de inversores el 6 de febrero de 2024, a las 8:30 AM ET/5:30 AM PT. Para escuchar la repetición de la videoconferencia se puede visitar el sitio web: www.checkpoint.com/ir.</w:t>
            </w:r>
          </w:p>
          <w:p>
            <w:pPr>
              <w:ind w:left="-284" w:right="-427"/>
              <w:jc w:val="both"/>
              <w:rPr>
                <w:rFonts/>
                <w:color w:val="262626" w:themeColor="text1" w:themeTint="D9"/>
              </w:rPr>
            </w:pPr>
            <w:r>
              <w:t>Programa de participación en la conferencia de inversores del primer trimestre:</w:t>
            </w:r>
          </w:p>
          <w:p>
            <w:pPr>
              <w:ind w:left="-284" w:right="-427"/>
              <w:jc w:val="both"/>
              <w:rPr>
                <w:rFonts/>
                <w:color w:val="262626" w:themeColor="text1" w:themeTint="D9"/>
              </w:rPr>
            </w:pPr>
            <w:r>
              <w:t>Conferencia Madness 1x1 Wolfe Research</w:t>
            </w:r>
          </w:p>
          <w:p>
            <w:pPr>
              <w:ind w:left="-284" w:right="-427"/>
              <w:jc w:val="both"/>
              <w:rPr>
                <w:rFonts/>
                <w:color w:val="262626" w:themeColor="text1" w:themeTint="D9"/>
              </w:rPr>
            </w:pPr>
            <w:r>
              <w:t>27 de febrero de 2024, NY, NY</w:t>
            </w:r>
          </w:p>
          <w:p>
            <w:pPr>
              <w:ind w:left="-284" w:right="-427"/>
              <w:jc w:val="both"/>
              <w:rPr>
                <w:rFonts/>
                <w:color w:val="262626" w:themeColor="text1" w:themeTint="D9"/>
              </w:rPr>
            </w:pPr>
            <w:r>
              <w:t>Baird Silicon Valley Slopes</w:t>
            </w:r>
          </w:p>
          <w:p>
            <w:pPr>
              <w:ind w:left="-284" w:right="-427"/>
              <w:jc w:val="both"/>
              <w:rPr>
                <w:rFonts/>
                <w:color w:val="262626" w:themeColor="text1" w:themeTint="D9"/>
              </w:rPr>
            </w:pPr>
            <w:r>
              <w:t>28 y 29 de febrero de 2024, Park City, UT</w:t>
            </w:r>
          </w:p>
          <w:p>
            <w:pPr>
              <w:ind w:left="-284" w:right="-427"/>
              <w:jc w:val="both"/>
              <w:rPr>
                <w:rFonts/>
                <w:color w:val="262626" w:themeColor="text1" w:themeTint="D9"/>
              </w:rPr>
            </w:pPr>
            <w:r>
              <w:t>Conferencia de Inversores Institucionales Raymond James 2024</w:t>
            </w:r>
          </w:p>
          <w:p>
            <w:pPr>
              <w:ind w:left="-284" w:right="-427"/>
              <w:jc w:val="both"/>
              <w:rPr>
                <w:rFonts/>
                <w:color w:val="262626" w:themeColor="text1" w:themeTint="D9"/>
              </w:rPr>
            </w:pPr>
            <w:r>
              <w:t>5 de marzo de 2024, Orlando, FL</w:t>
            </w:r>
          </w:p>
          <w:p>
            <w:pPr>
              <w:ind w:left="-284" w:right="-427"/>
              <w:jc w:val="both"/>
              <w:rPr>
                <w:rFonts/>
                <w:color w:val="262626" w:themeColor="text1" w:themeTint="D9"/>
              </w:rPr>
            </w:pPr>
            <w:r>
              <w:t>Conferencia Tecnológica Morgan Stanley 2024</w:t>
            </w:r>
          </w:p>
          <w:p>
            <w:pPr>
              <w:ind w:left="-284" w:right="-427"/>
              <w:jc w:val="both"/>
              <w:rPr>
                <w:rFonts/>
                <w:color w:val="262626" w:themeColor="text1" w:themeTint="D9"/>
              </w:rPr>
            </w:pPr>
            <w:r>
              <w:t>6 de marzo de 2024, SF, CA</w:t>
            </w:r>
          </w:p>
          <w:p>
            <w:pPr>
              <w:ind w:left="-284" w:right="-427"/>
              <w:jc w:val="both"/>
              <w:rPr>
                <w:rFonts/>
                <w:color w:val="262626" w:themeColor="text1" w:themeTint="D9"/>
              </w:rPr>
            </w:pPr>
            <w:r>
              <w:t>Conferencia de desarrollo Mizuho Israel 2024</w:t>
            </w:r>
          </w:p>
          <w:p>
            <w:pPr>
              <w:ind w:left="-284" w:right="-427"/>
              <w:jc w:val="both"/>
              <w:rPr>
                <w:rFonts/>
                <w:color w:val="262626" w:themeColor="text1" w:themeTint="D9"/>
              </w:rPr>
            </w:pPr>
            <w:r>
              <w:t>25 de marzo de 2024, NY, NY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EverythinkPR</w:t>
      </w:r>
    </w:p>
    <w:p w:rsidR="00C31F72" w:rsidRDefault="00C31F72" w:rsidP="00AB63FE">
      <w:pPr>
        <w:pStyle w:val="Sinespaciado"/>
        <w:spacing w:line="276" w:lineRule="auto"/>
        <w:ind w:left="-284"/>
        <w:rPr>
          <w:rFonts w:ascii="Arial" w:hAnsi="Arial" w:cs="Arial"/>
        </w:rPr>
      </w:pPr>
      <w:r>
        <w:rPr>
          <w:rFonts w:ascii="Arial" w:hAnsi="Arial" w:cs="Arial"/>
        </w:rPr>
        <w:t>EverythinkPR</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https://www.notasdeprensa.es/check-point-software-presenta-sus-resultados_4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Comunicación Software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