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aumentó casi un 9% la cifra de financiación de moto nueva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de crédito al consumo de BNP Paribas patrocina la tercera edición del Salón MotoMadrid, que se celebrará los días 11, 12 y 13 de abril la Casa de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el pasado año Cetelem financió un total de 8.311 motocicletas nuevas, lo que supone una cuota de mercado del 7,7%</w:t>
            </w:r>
          </w:p>
          <w:p>
            <w:pPr>
              <w:ind w:left="-284" w:right="-427"/>
              <w:jc w:val="both"/>
              <w:rPr>
                <w:rFonts/>
                <w:color w:val="262626" w:themeColor="text1" w:themeTint="D9"/>
              </w:rPr>
            </w:pPr>
            <w:r>
              <w:t>		Cetelem, líder en el mercado de la financiación de motos, lleva más de 20 años ligada al mundo de las dos ruedas, siendo la entidad financiera en España de prestigiosas marcas como Harley Davidson, Kawasaki, Ducati, Kymco o Daelim</w:t>
            </w:r>
          </w:p>
          <w:p>
            <w:pPr>
              <w:ind w:left="-284" w:right="-427"/>
              <w:jc w:val="both"/>
              <w:rPr>
                <w:rFonts/>
                <w:color w:val="262626" w:themeColor="text1" w:themeTint="D9"/>
              </w:rPr>
            </w:pPr>
            <w:r>
              <w:t>	Cetelem España Grupo BNP Paribas participará un año más como patrocinador oficial del Salón Comercial de la Motocicleta, MotoMadrid, un evento referencial que supera las 35.000 visitas de aficionados y profesionales y cuyo objetivo se concreta en la promoción de la actividad de las empresas en el sector de las dos ruedas y en la promoción de nuevos productos. Este año la feria tiene lugar en el Pabellón de Cristal de la Casa de Campo los días 11, 12 y 13 de abril, convocando a entidades y expertos del sector de todo el país.</w:t>
            </w:r>
          </w:p>
          <w:p>
            <w:pPr>
              <w:ind w:left="-284" w:right="-427"/>
              <w:jc w:val="both"/>
              <w:rPr>
                <w:rFonts/>
                <w:color w:val="262626" w:themeColor="text1" w:themeTint="D9"/>
              </w:rPr>
            </w:pPr>
            <w:r>
              <w:t>	Cetelem encuentra en este evento una oportunidad para estar cerca de concesionarios y marcas, así como para respaldar uno de los sectores más relevantes de su actividad financiera, el del motor, al que lleva ligado más de veinte años.</w:t>
            </w:r>
          </w:p>
          <w:p>
            <w:pPr>
              <w:ind w:left="-284" w:right="-427"/>
              <w:jc w:val="both"/>
              <w:rPr>
                <w:rFonts/>
                <w:color w:val="262626" w:themeColor="text1" w:themeTint="D9"/>
              </w:rPr>
            </w:pPr>
            <w:r>
              <w:t>	La moto, un sector estratégico para Cetelem</w:t>
            </w:r>
          </w:p>
          <w:p>
            <w:pPr>
              <w:ind w:left="-284" w:right="-427"/>
              <w:jc w:val="both"/>
              <w:rPr>
                <w:rFonts/>
                <w:color w:val="262626" w:themeColor="text1" w:themeTint="D9"/>
              </w:rPr>
            </w:pPr>
            <w:r>
              <w:t>	Durante 2013 se matricularon 107.312 motocicletas, de las cuales Cetelem financió la adquisición de 8.311, lo que representa un 7,7% de cuota de mercado. Estas cifras suponen un aumento del 8,8% de unidades financiadas con respecto al ejercicio 2012, aumentando la participación de Cetelem en el mercado del crédito por encima del 20%, y reforzando la posición de liderazgo de la entidad en el sector de la moto.</w:t>
            </w:r>
          </w:p>
          <w:p>
            <w:pPr>
              <w:ind w:left="-284" w:right="-427"/>
              <w:jc w:val="both"/>
              <w:rPr>
                <w:rFonts/>
                <w:color w:val="262626" w:themeColor="text1" w:themeTint="D9"/>
              </w:rPr>
            </w:pPr>
            <w:r>
              <w:t>	En la actualidad Cetelem está presente en más de 2000 concesionarios de toda España, es la entidad financiera de marcas de referencia en el sector, como Kawasaki, Harley-Davidson, Ducati o Kymco, así como de importadoras como Motorien, que distribuye en España modelos de Daelim, Hyosung, Lml, Tgb y Hanway.</w:t>
            </w:r>
          </w:p>
          <w:p>
            <w:pPr>
              <w:ind w:left="-284" w:right="-427"/>
              <w:jc w:val="both"/>
              <w:rPr>
                <w:rFonts/>
                <w:color w:val="262626" w:themeColor="text1" w:themeTint="D9"/>
              </w:rPr>
            </w:pPr>
            <w:r>
              <w:t>	MotoMadrid, una feria de referencia</w:t>
            </w:r>
          </w:p>
          <w:p>
            <w:pPr>
              <w:ind w:left="-284" w:right="-427"/>
              <w:jc w:val="both"/>
              <w:rPr>
                <w:rFonts/>
                <w:color w:val="262626" w:themeColor="text1" w:themeTint="D9"/>
              </w:rPr>
            </w:pPr>
            <w:r>
              <w:t>	La tercera edición de MotoMadrid mostrará más de una veintena de novedades, algunas recién incorporadas al mercado y otras que llegarán próximamente a los concesionarios y que tendrán su primer contacto con el público madrileño en el marco de este evento. La versión más lúdica de MotoMadrid permite al público el contacto directo con pilotos profesionales y disfrutar del mundo de las dos ruedas en los diferentes circuitos de pruebas y exhibición.</w:t>
            </w:r>
          </w:p>
          <w:p>
            <w:pPr>
              <w:ind w:left="-284" w:right="-427"/>
              <w:jc w:val="both"/>
              <w:rPr>
                <w:rFonts/>
                <w:color w:val="262626" w:themeColor="text1" w:themeTint="D9"/>
              </w:rPr>
            </w:pPr>
            <w:r>
              <w:t>	Sobre Cetelem en España</w:t>
            </w:r>
          </w:p>
          <w:p>
            <w:pPr>
              <w:ind w:left="-284" w:right="-427"/>
              <w:jc w:val="both"/>
              <w:rPr>
                <w:rFonts/>
                <w:color w:val="262626" w:themeColor="text1" w:themeTint="D9"/>
              </w:rPr>
            </w:pPr>
            <w:r>
              <w:t>	Cetelem (www.cetelem.com.es) banco experto en crédito al consumo perteneciente al grupo BNP Paribas, opera en España desde 1988 donde cuenta con 1.200 colaboradores y más de 2,5 millones de clientes. En 2010 Cetelem lanza en España el primer “Libro Blanco del Crédito al Consumo”, un documento destinado a los consumidores y con el objetivo de ofrecer confianza y transparencia al cliente en el acceso a un Crédito Responsable.</w:t>
            </w:r>
          </w:p>
          <w:p>
            <w:pPr>
              <w:ind w:left="-284" w:right="-427"/>
              <w:jc w:val="both"/>
              <w:rPr>
                <w:rFonts/>
                <w:color w:val="262626" w:themeColor="text1" w:themeTint="D9"/>
              </w:rPr>
            </w:pPr>
            <w:r>
              <w:t>	Sobre BNP Paribas</w:t>
            </w:r>
          </w:p>
          <w:p>
            <w:pPr>
              <w:ind w:left="-284" w:right="-427"/>
              <w:jc w:val="both"/>
              <w:rPr>
                <w:rFonts/>
                <w:color w:val="262626" w:themeColor="text1" w:themeTint="D9"/>
              </w:rPr>
            </w:pPr>
            <w:r>
              <w:t>	BNP Paribas está presente en 75 países y cuenta con más de 180.000 empleados, de los cuales más de 140.000 están en Europa. El grupo mantiene posiciones clave en sus tres grandes áreas de actividad: Retail Banking, Investment Solutions y Corporate  and  Investment Banking. En Europa, el grupo está presente en cuatro mercados locales (Bélgica, Francia, Italia y Luxemburgo) y BNP Paribas Personal Finance es número uno en créditos al consumo. BNP Paribas desarrolla asimismo su modelo integrado de banca minorista en los países del Mediterráneo, Turquía y Europa del Este, y cuenta con una importante red en el Oeste de Estados Unidos. En sus actividades de Corporate  and  Investment Banking e Investment Solutions, BNP Paribas dispone de un liderazgo consolidado en Europa, una fuerte presencia en América, así como un dispositivo sólido y con fuerte crecimiento en el Asia-Pacífico.</w:t>
            </w:r>
          </w:p>
          <w:p>
            <w:pPr>
              <w:ind w:left="-284" w:right="-427"/>
              <w:jc w:val="both"/>
              <w:rPr>
                <w:rFonts/>
                <w:color w:val="262626" w:themeColor="text1" w:themeTint="D9"/>
              </w:rPr>
            </w:pPr>
            <w:r>
              <w:t>	En España, BNP Paribas es uno de los principales bancos internacionales y dispone de 3.500 profesionales que ofrecen una amplia gama de servicios, con posiciones de liderazgo en sus tres grandes áreas de actividad.</w:t>
            </w:r>
          </w:p>
          <w:p>
            <w:pPr>
              <w:ind w:left="-284" w:right="-427"/>
              <w:jc w:val="both"/>
              <w:rPr>
                <w:rFonts/>
                <w:color w:val="262626" w:themeColor="text1" w:themeTint="D9"/>
              </w:rPr>
            </w:pPr>
            <w:r>
              <w:t>	Más información en:</w:t>
            </w:r>
          </w:p>
          <w:p>
            <w:pPr>
              <w:ind w:left="-284" w:right="-427"/>
              <w:jc w:val="both"/>
              <w:rPr>
                <w:rFonts/>
                <w:color w:val="262626" w:themeColor="text1" w:themeTint="D9"/>
              </w:rPr>
            </w:pPr>
            <w:r>
              <w:t>	www.prensacetelem.es | www.cetelem.com.es| www.bnpparibas.es</w:t>
            </w:r>
          </w:p>
          <w:p>
            <w:pPr>
              <w:ind w:left="-284" w:right="-427"/>
              <w:jc w:val="both"/>
              <w:rPr>
                <w:rFonts/>
                <w:color w:val="262626" w:themeColor="text1" w:themeTint="D9"/>
              </w:rPr>
            </w:pPr>
            <w:r>
              <w:t>	Pablo Sanz (psanz@arteliercomunicacion.com)	Mónica Jurado (mjurado@arteliercomunicacion.com)	Artelier Comunicación. Tel.: 91 626 60 36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Cetelem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https://www.notasdeprensa.es/cetelem-aumento-casi-un-9-la-cifra-de_1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