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y Holcim cierran series de transacciones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adquirió todos los activos de Holcim en República Checa y vendió sus activos localizados en la parte oeste de Alemania a Holcim. En España, CEMEX adquirió de Holcim la planta de cemento Gador (capacidad de cemento de 0.85 millones de toneladas) y su molienda de cemento Yeles (capacidad de cemento de 0.90 millones de toneladas).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anunció hoy el cierre de las series de transacciones con Holcim, anunciadas originalmente el 28 de agosto de 2013 y suplementadas el 30 de octubre de 2014.</w:t>
            </w:r>
          </w:p>
          <w:p>
            <w:pPr>
              <w:ind w:left="-284" w:right="-427"/>
              <w:jc w:val="both"/>
              <w:rPr>
                <w:rFonts/>
                <w:color w:val="262626" w:themeColor="text1" w:themeTint="D9"/>
              </w:rPr>
            </w:pPr>
            <w:r>
              <w:t>	Como parte de estas transacciones, CEMEX pagó a Holcim 45 millones de Euros en efectivo. CEMEX espera una mejora recurrente en su flujo de operación, incluyendo sinergias, de entre 20 millones y 30 millones de dólares.</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Para más información de CEMEX, por favor visite:  www.cemex.com.</w:t>
            </w:r>
          </w:p>
          <w:p>
            <w:pPr>
              <w:ind w:left="-284" w:right="-427"/>
              <w:jc w:val="both"/>
              <w:rPr>
                <w:rFonts/>
                <w:color w:val="262626" w:themeColor="text1" w:themeTint="D9"/>
              </w:rPr>
            </w:pPr>
            <w:r>
              <w:t>	Para más información de Holcim, por favor visite:  www.holcim.com.</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e información que reflejan las expectativas y proyecciones de CEMEX sobre eventos futuros basadas en el conocimiento por parte de CEMEX sobre hechos actuales, circunstancias y presunciones sobre eventos futuros, las cuales necesariamente están sujetas a riesgos, incertidumbres y presunciones. Varios factores podrían causar que los resultados, desempeño o logros de CEMEX sean materialmente diferentes respecto a los expresados o implícitos en este comunicado, incluyendo, entre otros, que no se cumplan las condiciones de cierre, cambios en las condiciones generales económicas, políticas, cambios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aquí descritos. CEMEX no pretende y no asume ninguna obligación de actualizar estas declaraciones acerca del futuro. CEMEX no es responsable por el contenido de cualquier sitio web de terceros o página web referenciada o accesibles a través de este comunicado.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https://www.notasdeprensa.es/cemex-y-holcim-cierran-series-de-transacciones_1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