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Latam Holdings da a conocer resultados para el cuarto trimestre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Latam Holdings, S.A. ("CLH") (BVC: CLH), informó hoy que sus ventas netas consolidadas alcanzaron $462 millones de dólares durante el cuarto trimestre de 2013, representando un incremento del 14% con respecto al cuarto trimestre de 2012. El flujo de operación se incrementó en un 12% durante el trimestre, ubicándose en $158 millones de dólares comparado con el mismo trimestre de 2012.</w:t>
            </w:r>
          </w:p>
          <w:p>
            <w:pPr>
              <w:ind w:left="-284" w:right="-427"/>
              <w:jc w:val="both"/>
              <w:rPr>
                <w:rFonts/>
                <w:color w:val="262626" w:themeColor="text1" w:themeTint="D9"/>
              </w:rPr>
            </w:pPr>
            <w:r>
              <w:t>	Durante el 2013, el flujo de operación se incrementó en un 16% con un 10% de crecimiento en ventas netas, comparado con el 2012 en términos pro forma. Durante el 2013 el margen del flujo de operación aumentó en 1.8 puntos porcentuales ubicándose en 36.2%, comparado con 2012.</w:t>
            </w:r>
          </w:p>
          <w:p>
            <w:pPr>
              <w:ind w:left="-284" w:right="-427"/>
              <w:jc w:val="both"/>
              <w:rPr>
                <w:rFonts/>
                <w:color w:val="262626" w:themeColor="text1" w:themeTint="D9"/>
              </w:rPr>
            </w:pPr>
            <w:r>
              <w:t>	Carlos Jacks, Director General Ejecutivo de CLH, dijo, “Estamos satisfechos con los resultados alcanzados en el 2013. En solo tres años, en términos pro forma, prácticamente hemos duplicado nuestra generación de flujo de operación con un importante incremento en nuestra rentabilidad. Desde 2010 hemos mejorado nuestra base de activos, reenfocado nuestra oferta comercial y optimizado nuestra estructura de costos, dando como resultado una creación de valor sostenida para nuestros grupos de interés.”</w:t>
            </w:r>
          </w:p>
          <w:p>
            <w:pPr>
              <w:ind w:left="-284" w:right="-427"/>
              <w:jc w:val="both"/>
              <w:rPr>
                <w:rFonts/>
                <w:color w:val="262626" w:themeColor="text1" w:themeTint="D9"/>
              </w:rPr>
            </w:pPr>
            <w:r>
              <w:t>	Información Financiera y Operativa relevante</w:t>
            </w:r>
          </w:p>
          <w:p>
            <w:pPr>
              <w:ind w:left="-284" w:right="-427"/>
              <w:jc w:val="both"/>
              <w:rPr>
                <w:rFonts/>
                <w:color w:val="262626" w:themeColor="text1" w:themeTint="D9"/>
              </w:rPr>
            </w:pPr>
            <w:r>
              <w:t>		El incremento en ventas netas consolidadas durante el cuarto trimestre se debió principalmente a mayores volúmenes en la mayoría de nuestros mercados, en conjunto con la contribución de nuestros proyectos de soluciones de vivienda en Colombia.</w:t>
            </w:r>
          </w:p>
          <w:p>
            <w:pPr>
              <w:ind w:left="-284" w:right="-427"/>
              <w:jc w:val="both"/>
              <w:rPr>
                <w:rFonts/>
                <w:color w:val="262626" w:themeColor="text1" w:themeTint="D9"/>
              </w:rPr>
            </w:pPr>
            <w:r>
              <w:t>		El crecimiento del flujo de operación durante el 2013 estuvo impulsado por mayores volúmenes, menores gastos de distribución, y menores costos de mantenimiento y combustibles, comparado con el año 2012 pro forma. La expansión de nuestro margen de flujo de operación durante el 2013 estuvo impulsada principalmente por la mayor rentabilidad en la mayoría de nuestros mercados, comparado con el 2012.</w:t>
            </w:r>
          </w:p>
          <w:p>
            <w:pPr>
              <w:ind w:left="-284" w:right="-427"/>
              <w:jc w:val="both"/>
              <w:rPr>
                <w:rFonts/>
                <w:color w:val="262626" w:themeColor="text1" w:themeTint="D9"/>
              </w:rPr>
            </w:pPr>
            <w:r>
              <w:t>		En términos consolidados, al cierre de 2013, la red Construrama contaba con cerca de 290 distribuidores. Planeamos seguir expandiendo este programa y esperamos hacia el 2015 alcanzar más de 500 Construramas en la región.</w:t>
            </w:r>
          </w:p>
          <w:p>
            <w:pPr>
              <w:ind w:left="-284" w:right="-427"/>
              <w:jc w:val="both"/>
              <w:rPr>
                <w:rFonts/>
                <w:color w:val="262626" w:themeColor="text1" w:themeTint="D9"/>
              </w:rPr>
            </w:pPr>
            <w:r>
              <w:t>		El flujo de efectivo libre después de inversión en activo fijo de mantenimiento alcanzó los $299 millones de dólares durante el 2013.</w:t>
            </w:r>
          </w:p>
          <w:p>
            <w:pPr>
              <w:ind w:left="-284" w:right="-427"/>
              <w:jc w:val="both"/>
              <w:rPr>
                <w:rFonts/>
                <w:color w:val="262626" w:themeColor="text1" w:themeTint="D9"/>
              </w:rPr>
            </w:pPr>
            <w:r>
              <w:t>	Carlos Jacks, agregó, “Durante 2013 CLH se consolidó como un proveedor de soluciones de construcción para los diferentes sectores y estamos satisfechos con los resultados obtenidos hasta el momento. Esperamos que el 2014 sea otro año positivo y tenemos confianza en que nuestra estrategia comercial única, en conjunto con una óptima base de activos nos apoyarán para alcanzar nuestros objetivos del año.”</w:t>
            </w:r>
          </w:p>
          <w:p>
            <w:pPr>
              <w:ind w:left="-284" w:right="-427"/>
              <w:jc w:val="both"/>
              <w:rPr>
                <w:rFonts/>
                <w:color w:val="262626" w:themeColor="text1" w:themeTint="D9"/>
              </w:rPr>
            </w:pPr>
            <w:r>
              <w:t>	Resultados consolidados</w:t>
            </w:r>
          </w:p>
          <w:p>
            <w:pPr>
              <w:ind w:left="-284" w:right="-427"/>
              <w:jc w:val="both"/>
              <w:rPr>
                <w:rFonts/>
                <w:color w:val="262626" w:themeColor="text1" w:themeTint="D9"/>
              </w:rPr>
            </w:pPr>
            <w:r>
              <w:t>	Durante el 2013, se registró una utilidad neta de la participación controladora de $264 millones de dólares.</w:t>
            </w:r>
          </w:p>
          <w:p>
            <w:pPr>
              <w:ind w:left="-284" w:right="-427"/>
              <w:jc w:val="both"/>
              <w:rPr>
                <w:rFonts/>
                <w:color w:val="262626" w:themeColor="text1" w:themeTint="D9"/>
              </w:rPr>
            </w:pPr>
            <w:r>
              <w:t>	La deuda neta se ubicó en $1,304 millones de dólares al cierre del 2013.</w:t>
            </w:r>
          </w:p>
          <w:p>
            <w:pPr>
              <w:ind w:left="-284" w:right="-427"/>
              <w:jc w:val="both"/>
              <w:rPr>
                <w:rFonts/>
                <w:color w:val="262626" w:themeColor="text1" w:themeTint="D9"/>
              </w:rPr>
            </w:pPr>
            <w:r>
              <w:t>	Información relevante de mercados principales en el trimestre</w:t>
            </w:r>
          </w:p>
          <w:p>
            <w:pPr>
              <w:ind w:left="-284" w:right="-427"/>
              <w:jc w:val="both"/>
              <w:rPr>
                <w:rFonts/>
                <w:color w:val="262626" w:themeColor="text1" w:themeTint="D9"/>
              </w:rPr>
            </w:pPr>
            <w:r>
              <w:t>	El flujo de operación en Colombia creció 12%, alcanzando $119 millones de dólares en comparación con $106 millones de dólares en el cuarto trimestre de 2012, con un incremento del 24% en ventas netas alcanzando $ 291 millones de dólares.</w:t>
            </w:r>
          </w:p>
          <w:p>
            <w:pPr>
              <w:ind w:left="-284" w:right="-427"/>
              <w:jc w:val="both"/>
              <w:rPr>
                <w:rFonts/>
                <w:color w:val="262626" w:themeColor="text1" w:themeTint="D9"/>
              </w:rPr>
            </w:pPr>
            <w:r>
              <w:t>	El flujo de operación en Panamá se disminuyó en 9% a $25 millones de dólares durante el trimestre. Las ventas netas alcanzaron $72 millones de dólares en el cuarto trimestre de 2013, un incremento de 6% comparado con el mismo periodo del 2012.</w:t>
            </w:r>
          </w:p>
          <w:p>
            <w:pPr>
              <w:ind w:left="-284" w:right="-427"/>
              <w:jc w:val="both"/>
              <w:rPr>
                <w:rFonts/>
                <w:color w:val="262626" w:themeColor="text1" w:themeTint="D9"/>
              </w:rPr>
            </w:pPr>
            <w:r>
              <w:t>	En nuestras operaciones en Costa Rica, el flujo de operación alcanzó $17 millones de dólares durante el trimestre, un incremento del 40% con respecto al mismo periodo del año 2012. Las ventas netas se incrementaron en 12% a $38 millones de dólares en comparación con $33 millones de dólares en el cuarto trimestre de 2012.</w:t>
            </w:r>
          </w:p>
          <w:p>
            <w:pPr>
              <w:ind w:left="-284" w:right="-427"/>
              <w:jc w:val="both"/>
              <w:rPr>
                <w:rFonts/>
                <w:color w:val="262626" w:themeColor="text1" w:themeTint="D9"/>
              </w:rPr>
            </w:pPr>
            <w:r>
              <w:t>	En el Resto de CLH las ventas netas del cuarto trimestre de 2013 alcanzaron $64 millones de dólares. El flujo de operación durante el trimestre creció en 5%, con respecto al mismo periodo del 2012, para ubicarse en $18 millones de dólares.</w:t>
            </w:r>
          </w:p>
          <w:p>
            <w:pPr>
              <w:ind w:left="-284" w:right="-427"/>
              <w:jc w:val="both"/>
              <w:rPr>
                <w:rFonts/>
                <w:color w:val="262626" w:themeColor="text1" w:themeTint="D9"/>
              </w:rPr>
            </w:pPr>
            <w:r>
              <w:t>	CEMEX Latam Holdings es líder regional en la industria de soluciones para la construcción que proporciona productos y servicios de alta calidad a clientes y comunidades en Colombia, Panamá, Costa Rica, Nicaragua, El Salvador, Guatemala y Brasil. La misión de CEMEX Latam Holdings es impulsar el desarrollo de los países donde opera con soluciones innovadoras de construcción que generen bienestar.</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CLH sean materialmente diferentes a aquellos expresa o implícitamente contenidos en este comunicado, incluyendo, entre otros, cambios en las condiciones generales económicas, políticas, gubernamentales y comerciales a nivel global y en los países en los que CLH hace negocios, cambios en tasas de interés, cambios en tasas de inflación, volatilidad cambiaria, el nivel de la construcción en general, cambios en la demanda y el precio del cemento, cambios en los precios de materia prima y energía, cambios en estrategia de negocios, cambios derivados de acontecimientos que afecten a CEMEX, S.A.B de C.V. y sus subsidiarias (“CEMEX”)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CLH no pretende y no asume ninguna obligación de actualizar estas declaraciones acerca del futuro.</w:t>
            </w:r>
          </w:p>
          <w:p>
            <w:pPr>
              <w:ind w:left="-284" w:right="-427"/>
              <w:jc w:val="both"/>
              <w:rPr>
                <w:rFonts/>
                <w:color w:val="262626" w:themeColor="text1" w:themeTint="D9"/>
              </w:rPr>
            </w:pPr>
            <w:r>
              <w:t>	Para conveniencia del lector, la información consolidada proforma del 2012 fue ajustada para incluir los resultados adicionales de las subsidiarias operativas por los períodos de tres y doce meses terminados al 31 de diciembre de 2012 y reflejar el acuerdo del 5% de cargos corporativos y regalías entre CLH y CEMEX. El flujo de operación es definido como el resultado de operación antes de otros gastos, neto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Todos los rubros mencionados anteriormente se prepararon sobre base consolidada en 2012 basados en los estados financieros de cada subsidiaria de CLH preparados bajo las Normas Internacionales de Información Financiera emitidas por el Consejo Internacional de Normas de Información Financiera. El flujo de operación y el Flujo Libre de Efectivo (como se menciona anteriormente) son presentados dentro de este documento debido a que CLH considera que son indicadores financieros ampliamente aceptados para la habilidad de CLH de internamente financiar los gastos de capital y servicio ó incurrir en la deuda. El flujo de operación y el Flujo Libre de Efectivo no deben de ser considerados como indicadores del rendimiento financiero de CLH independiente del flujo de efectivo, como medida de liquidez o siendo comparable con otras medidas similares de otras compañías.</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https://www.notasdeprensa.es/cemex-latam-holdings-da-a-conocer-resultados_2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