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da a conocer resultados para el segundo trimestre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CEMEX, S.A.B. de C.V. ("CEMEX") (BMV: CEMEXCPO), informó hoy que sus ventas netas consolidadas durante el segundo trimestre de 2014 alcanzaron los 4,154 millones de dólares, un aumento del 4% respecto al mismo periodo del 2013.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flujo de operación incrementó en 1% durante el segundo trimestre para ubicarse en 737 millones de dólares respecto al segundo trimestre del 2013. De forma comparable y ajustando por días hábiles en nuestras operaciones durante el trimestre, las ventas netas consolidadas aumentaron en 5% y el flujo de operación aumentó en 3% con respecto al segundo trimestre del 2013.</w:t>
            </w:r>
          </w:p>
          <w:p>
            <w:pPr>
              <w:ind w:left="-284" w:right="-427"/>
              <w:jc w:val="both"/>
              <w:rPr>
                <w:rFonts/>
                <w:color w:val="262626" w:themeColor="text1" w:themeTint="D9"/>
              </w:rPr>
            </w:pPr>
            <w:r>
              <w:t>	Información Financiera y Operativa relevante</w:t>
            </w:r>
          </w:p>
          <w:p>
            <w:pPr>
              <w:ind w:left="-284" w:right="-427"/>
              <w:jc w:val="both"/>
              <w:rPr>
                <w:rFonts/>
                <w:color w:val="262626" w:themeColor="text1" w:themeTint="D9"/>
              </w:rPr>
            </w:pPr>
            <w:r>
              <w:t>		El incremento en ventas netas consolidadas fue resultado de mejores precios en moneda local para nuestros productos en la mayoría de nuestras operaciones así como mayores volúmenes en Estados Unidos, y nuestras regiones del Mediterráneo, América Central, del Sur y el Caribe, y Asia.</w:t>
            </w:r>
          </w:p>
          <w:p>
            <w:pPr>
              <w:ind w:left="-284" w:right="-427"/>
              <w:jc w:val="both"/>
              <w:rPr>
                <w:rFonts/>
                <w:color w:val="262626" w:themeColor="text1" w:themeTint="D9"/>
              </w:rPr>
            </w:pPr>
            <w:r>
              <w:t>		El resultado de operación antes de otros gastos, neto durante el segundo trimestre incrementó 1% alcanzando los 456 millones de dólares.</w:t>
            </w:r>
          </w:p>
          <w:p>
            <w:pPr>
              <w:ind w:left="-284" w:right="-427"/>
              <w:jc w:val="both"/>
              <w:rPr>
                <w:rFonts/>
                <w:color w:val="262626" w:themeColor="text1" w:themeTint="D9"/>
              </w:rPr>
            </w:pPr>
            <w:r>
              <w:t>		El flujo de operación incrementó durante el trimestre en 1% para ubicarse en 737 millones de dólares. De forma comparable y ajustando por días hábiles, el flujo de operación aumentó en 3% durante el trimestre en comparación con el mismo periodo en 2013.</w:t>
            </w:r>
          </w:p>
          <w:p>
            <w:pPr>
              <w:ind w:left="-284" w:right="-427"/>
              <w:jc w:val="both"/>
              <w:rPr>
                <w:rFonts/>
                <w:color w:val="262626" w:themeColor="text1" w:themeTint="D9"/>
              </w:rPr>
            </w:pPr>
            <w:r>
              <w:t>		El margen de flujo de operación disminuyó 0.5 puntos porcentuales respecto al mismo trimestre del año anterior, alcanzando 17.7%. De forma comparable y ajustando por días hábiles en nuestras operaciones, el margen de flujo de operación disminuyó 0.3 puntos porcentuales de forma comparable con el año anterior.</w:t>
            </w:r>
          </w:p>
          <w:p>
            <w:pPr>
              <w:ind w:left="-284" w:right="-427"/>
              <w:jc w:val="both"/>
              <w:rPr>
                <w:rFonts/>
                <w:color w:val="262626" w:themeColor="text1" w:themeTint="D9"/>
              </w:rPr>
            </w:pPr>
            <w:r>
              <w:t>		Durante el trimestre, la utilidad neta de la participación controladora fue de 76 millones de dólares, nuestra primera utilidad trimestral reportada desde 2009.</w:t>
            </w:r>
          </w:p>
          <w:p>
            <w:pPr>
              <w:ind w:left="-284" w:right="-427"/>
              <w:jc w:val="both"/>
              <w:rPr>
                <w:rFonts/>
                <w:color w:val="262626" w:themeColor="text1" w:themeTint="D9"/>
              </w:rPr>
            </w:pPr>
            <w:r>
              <w:t>		El flujo de efectivo libre después de activo fijo de mantenimiento para el trimestre fue de 63 millones de dólares, comparado contra la pérdida de 86 millones de dólares del mismo trimestre de 2013.</w:t>
            </w:r>
          </w:p>
          <w:p>
            <w:pPr>
              <w:ind w:left="-284" w:right="-427"/>
              <w:jc w:val="both"/>
              <w:rPr>
                <w:rFonts/>
                <w:color w:val="262626" w:themeColor="text1" w:themeTint="D9"/>
              </w:rPr>
            </w:pPr>
            <w:r>
              <w:t>	Fernando González Olivieri, Director General, expresó: “Estamos satisfechos con las tendencias que hemos visto en los volúmenes de nuestros tres principales productos durante los primeros seis meses del año y por el éxito de nuestra estrategia value-before-volume. Estimamos un mejor desempeño de nuestras operaciones en México para la segunda mitad del año las cuales nos permitirán tener una generación más sólida de flujo de operación para el año completo 2014”.</w:t>
            </w:r>
          </w:p>
          <w:p>
            <w:pPr>
              <w:ind w:left="-284" w:right="-427"/>
              <w:jc w:val="both"/>
              <w:rPr>
                <w:rFonts/>
                <w:color w:val="262626" w:themeColor="text1" w:themeTint="D9"/>
              </w:rPr>
            </w:pPr>
            <w:r>
              <w:t>	Resultados consolidados</w:t>
            </w:r>
          </w:p>
          <w:p>
            <w:pPr>
              <w:ind w:left="-284" w:right="-427"/>
              <w:jc w:val="both"/>
              <w:rPr>
                <w:rFonts/>
                <w:color w:val="262626" w:themeColor="text1" w:themeTint="D9"/>
              </w:rPr>
            </w:pPr>
            <w:r>
              <w:t>	Durante el segundo trimestre de 2014 registramos una utilidad neta de la participación controladora de 76 millones de dólares, una mejora sobre la pérdida de 152 millones de dólares en el mismo periodo del año pasado.</w:t>
            </w:r>
          </w:p>
          <w:p>
            <w:pPr>
              <w:ind w:left="-284" w:right="-427"/>
              <w:jc w:val="both"/>
              <w:rPr>
                <w:rFonts/>
                <w:color w:val="262626" w:themeColor="text1" w:themeTint="D9"/>
              </w:rPr>
            </w:pPr>
            <w:r>
              <w:t>	La deuda total más notas perpetuas disminuyó en 125 millones de dólares durante el trimestre.</w:t>
            </w:r>
          </w:p>
          <w:p>
            <w:pPr>
              <w:ind w:left="-284" w:right="-427"/>
              <w:jc w:val="both"/>
              <w:rPr>
                <w:rFonts/>
                <w:color w:val="262626" w:themeColor="text1" w:themeTint="D9"/>
              </w:rPr>
            </w:pPr>
            <w:r>
              <w:t>	Información relevante de mercados principales en el trimestre</w:t>
            </w:r>
          </w:p>
          <w:p>
            <w:pPr>
              <w:ind w:left="-284" w:right="-427"/>
              <w:jc w:val="both"/>
              <w:rPr>
                <w:rFonts/>
                <w:color w:val="262626" w:themeColor="text1" w:themeTint="D9"/>
              </w:rPr>
            </w:pPr>
            <w:r>
              <w:t>	Nuestras operaciones en México reportaron ventas netas de 816 millones de dólares en el segundo trimestre de 2014, disminuyendo 4% respecto al mismo periodo del 2013. El flujo de operación disminuyó 1%, alcanzado 247 millones de dólares respecto al mismo periodo del año anterior.</w:t>
            </w:r>
          </w:p>
          <w:p>
            <w:pPr>
              <w:ind w:left="-284" w:right="-427"/>
              <w:jc w:val="both"/>
              <w:rPr>
                <w:rFonts/>
                <w:color w:val="262626" w:themeColor="text1" w:themeTint="D9"/>
              </w:rPr>
            </w:pPr>
            <w:r>
              <w:t>	Las ventas netas de CEMEX en Estados Unidos reportaron 957 millones de dólares en el segundo trimestre del 2014, un incremento de 10% en relación al mismo trimestre del 2013. El flujo de operación registró 119 millones de dólares durante el trimestre, en comparación con 80 millones de dólares en el mismo trimestre del 2013.</w:t>
            </w:r>
          </w:p>
          <w:p>
            <w:pPr>
              <w:ind w:left="-284" w:right="-427"/>
              <w:jc w:val="both"/>
              <w:rPr>
                <w:rFonts/>
                <w:color w:val="262626" w:themeColor="text1" w:themeTint="D9"/>
              </w:rPr>
            </w:pPr>
            <w:r>
              <w:t>	En el Norte de Europa, las ventas netas del segundo trimestre del 2014 incrementaron 5% a 1,138 millones de dólares comparado contra 1,088 millones de dólares durante el mismo periodo del 2013. El flujo de operación incrementó 12%, al ubicarse en 121 millones de dólares.</w:t>
            </w:r>
          </w:p>
          <w:p>
            <w:pPr>
              <w:ind w:left="-284" w:right="-427"/>
              <w:jc w:val="both"/>
              <w:rPr>
                <w:rFonts/>
                <w:color w:val="262626" w:themeColor="text1" w:themeTint="D9"/>
              </w:rPr>
            </w:pPr>
            <w:r>
              <w:t>	Las ventas netas para el primer trimestre en la región Mediterráneo registraron 449 millones de dólares, un incremento del 12% con respecto a 400 millones de dólares durante el mismo periodo del 2013. El flujo de operación incrementó 6% a 100 millones de dólares durante el trimestre, respecto al mismo periodo de 2013.</w:t>
            </w:r>
          </w:p>
          <w:p>
            <w:pPr>
              <w:ind w:left="-284" w:right="-427"/>
              <w:jc w:val="both"/>
              <w:rPr>
                <w:rFonts/>
                <w:color w:val="262626" w:themeColor="text1" w:themeTint="D9"/>
              </w:rPr>
            </w:pPr>
            <w:r>
              <w:t>	Las operaciones de CEMEX en América Central, del Sur y el Caribe reportaron ventas de 562 millones de dólares durante el segundo trimestre del 2014, permaneciendo estables con respecto al mismo periodo del 2013. El flujo de operación disminuyó 16% a 178 millones de dólares en el segundo trimestre del 2014 en comparación con 211 millones de dólares en el segundo trimestre del 2013.</w:t>
            </w:r>
          </w:p>
          <w:p>
            <w:pPr>
              <w:ind w:left="-284" w:right="-427"/>
              <w:jc w:val="both"/>
              <w:rPr>
                <w:rFonts/>
                <w:color w:val="262626" w:themeColor="text1" w:themeTint="D9"/>
              </w:rPr>
            </w:pPr>
            <w:r>
              <w:t>	Las ventas netas en Asia reportaron una disminución de 2% para el segundo trimestre del 2014 a 160 millones de dólares, respecto al segundo trimestre del 2013, mientras que el flujo de operación alcanzó 34 millones de dólares, representando una disminución de 11% respecto al mismo periodo del año anterior.</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del mundo. CEMEX mantiene su trayectoria de beneficiar a quienes sirve a través de la constante búsqueda de soluciones innovadoras para la industria, mejoras en eficiencia y promoviendo un futuro sustentable.</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sobre eventos futuros e información sujeta a ciertos riesgos, factores inciertos y presunciones. Muchos factores podrían causar que los resultados, desempeño o logros actuales de CEMEX sean materialmente diferentes a aquellos expresa o implícitamente contenidos en este comunicado, incluyendo, entre otros, cambios en las condiciones generales económicas, políticas,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descritos en el presente como anticipados, creídos, estimados o esperados. CEMEX no pretende y no asume ninguna obligación de actualizar estas declaraciones acerca del futuro.</w:t>
            </w:r>
          </w:p>
          <w:p>
            <w:pPr>
              <w:ind w:left="-284" w:right="-427"/>
              <w:jc w:val="both"/>
              <w:rPr>
                <w:rFonts/>
                <w:color w:val="262626" w:themeColor="text1" w:themeTint="D9"/>
              </w:rPr>
            </w:pPr>
            <w:r>
              <w:t>	El flujo de operación es definido como la utilidad de operación más la depreciación y la amortización operativa. Los flujos libres de efectivo son definidos como el flujo de operación menos los gastos de intereses netos, gastos de mantenimientos, gastos de expansión de capital, capital de trabajo, impuestos, y otras cuentas de efectivo (otros gastos netos menos lo recaudado por la enajenación del activo fijo obsoleto y/o sustancialmente reducido que no se encuentra en operación). La deuda neta es definida como el total de la deuda menos el valor razonable de los swaps de intercambio de monedas asociados con la deuda menos el efectivo y el efectivo equivalente. La Deuda Fondeada Consolidada de la razón del flujo de operación es calculada dividiendo la Deuda Fondeada Consolidada al final del trimestre por el flujo de operación de los últimos 12 meses. Todo lo mencionado anteriormente se encuentra dentro de la normatividad de las Normas Internacionales de Información Financiera emitidas por el Consejo Internacional de Normas de Contabilidad. El flujo de operación y el Flujo Libre de Efectivo (como se menciona anteriormente) son presentados dentro de este documento debido a que Cemex considera que son indicadores financieros ampliamente aceptados para la habilidad de CEMEX de internamente financiar los gastos de capital y servicio ó incurrir en la deuda. El flujo de operación y el Flujo Libre de Efectivo no deben de ser considerados como indicadores del rendimiento financiero de CEMEX independiente del flujo de efectivo, como medida de liquidez o siendo comparable con otras medidas similares de otras compañías.</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https://www.notasdeprensa.es/cemex-da-a-conocer-resultados-para-el-segundo_1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