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anuncia cierre de financiamiento de uno de los mayores proyectos eólicos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anunció hoy que ha completado exitosamente el financiamiento de Ventika, un proyecto que comprende la construcción de dos parques eólicos de 126 MW cada uno, para una capacidad nominal total de 252 MW, que se ubicará en General Bravo, N.L. México.</w:t>
            </w:r>
          </w:p>
          <w:p>
            <w:pPr>
              <w:ind w:left="-284" w:right="-427"/>
              <w:jc w:val="both"/>
              <w:rPr>
                <w:rFonts/>
                <w:color w:val="262626" w:themeColor="text1" w:themeTint="D9"/>
              </w:rPr>
            </w:pPr>
            <w:r>
              <w:t>	La inversión del proyecto es de aproximadamente $650 millones de dólares y se estructuró bajo un esquema de 75% deuda y 25% inversión de capital. Los participantes en el financiamiento de deuda son Banco de Desarrollo de América del Norte, Banobras, Nafin, Bancomext y Santander. Los socios inversionistas son Fisterra Energy, una compañía controlada por fondos gestionados por Blackstone; CEMEX e inversionistas privados.</w:t>
            </w:r>
          </w:p>
          <w:p>
            <w:pPr>
              <w:ind w:left="-284" w:right="-427"/>
              <w:jc w:val="both"/>
              <w:rPr>
                <w:rFonts/>
                <w:color w:val="262626" w:themeColor="text1" w:themeTint="D9"/>
              </w:rPr>
            </w:pPr>
            <w:r>
              <w:t>	CEMEX fungió como desarrollador del proyecto, aportando su experiencia y capacidad técnica líder en el sector de energías limpias. Adicionalmente, CEMEX supervisará la construcción y una vez que entren en operación comercial, administrará los parques sin ejercer control y con una participación minoritaria del 5% de la inversión de capital del proyecto, por lo tanto, el proyecto no se consolidará en el balance general de CEMEX y la deuda del proyecto no tendrá recurso contra CEMEX.</w:t>
            </w:r>
          </w:p>
          <w:p>
            <w:pPr>
              <w:ind w:left="-284" w:right="-427"/>
              <w:jc w:val="both"/>
              <w:rPr>
                <w:rFonts/>
                <w:color w:val="262626" w:themeColor="text1" w:themeTint="D9"/>
              </w:rPr>
            </w:pPr>
            <w:r>
              <w:t>	Los parques eólicos abastecerán energía renovable a instalaciones de FEMSA, DEACERO, Tecnológico de Monterrey y CEMEX, bajo el esquema de autoabastecimiento aprobado por la Comisión Reguladora de Energía de México. Además, existe la opción de que en el futuro se suministre energía a consumidores adicionales.</w:t>
            </w:r>
          </w:p>
          <w:p>
            <w:pPr>
              <w:ind w:left="-284" w:right="-427"/>
              <w:jc w:val="both"/>
              <w:rPr>
                <w:rFonts/>
                <w:color w:val="262626" w:themeColor="text1" w:themeTint="D9"/>
              </w:rPr>
            </w:pPr>
            <w:r>
              <w:t>	La construcción iniciará durante el segundo trimestre de 2014 y se espera el inicio de operación comercial en el segundo trimestre de 2016.</w:t>
            </w:r>
          </w:p>
          <w:p>
            <w:pPr>
              <w:ind w:left="-284" w:right="-427"/>
              <w:jc w:val="both"/>
              <w:rPr>
                <w:rFonts/>
                <w:color w:val="262626" w:themeColor="text1" w:themeTint="D9"/>
              </w:rPr>
            </w:pPr>
            <w:r>
              <w:t>	"Estamos muy satisfechos de cerrar este importante proyecto, ya que hemos aprovechado nuestro conocimiento para continuar nuestra experiencia de liderazgo en la industria de energías limpias y combustibles alternos", afirmó Luis Farías, Vicepresidente de Energía y Sustentabilidad de CEMEX. "Continuaremos buscando oportunidades potenciales en el sector”.</w:t>
            </w:r>
          </w:p>
          <w:p>
            <w:pPr>
              <w:ind w:left="-284" w:right="-427"/>
              <w:jc w:val="both"/>
              <w:rPr>
                <w:rFonts/>
                <w:color w:val="262626" w:themeColor="text1" w:themeTint="D9"/>
              </w:rPr>
            </w:pPr>
            <w:r>
              <w:t>	Acciona Energía fue seleccionada como proveedor de Ingeniería, Abasto y Construcción, así como contratista de Operación y Mantenimiento. Todos los contratos con las autoridades y permisos necesarios para construir, operar y comercializar estos parques han sido obtenidos.</w:t>
            </w:r>
          </w:p>
          <w:p>
            <w:pPr>
              <w:ind w:left="-284" w:right="-427"/>
              <w:jc w:val="both"/>
              <w:rPr>
                <w:rFonts/>
                <w:color w:val="262626" w:themeColor="text1" w:themeTint="D9"/>
              </w:rPr>
            </w:pPr>
            <w:r>
              <w:t>	Evercore fue el asesor financiero de CEMEX, Santander fue el coordinador del financiamiento y Banamex actuó como fiduciario.</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CEMEX mantiene su trayectoria de beneficiar a quienes sirve a través de soluciones innovadoras de construcción, mejoras en eficiencia y esfuerzos para promover un futuro sustentable.</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sobre eventos futuros e información sujeta a ciertos riesgos, factores inciertos y presunciones. Muchos factores podrían causar que los resultados, desempeño o logros actuales de CEMEX sean materialmente diferentes a aquellos expresa o implícitamente contenidos en este comunicado, incluyendo, entre otros, cambios en las condiciones generales económicas, políticas,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descritos en el presente como anticipados, creídos, estimados o esperados. CEMEX no pretende y no asume ninguna obligación de actualizar estas declaraciones acerca del futuro.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https://www.notasdeprensa.es/cemex-anuncia-cierre-de-financiamiento-de-uno_1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