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anuncia que IU ultima su alternativa de propuestas para contestar a la reforma fiscal que prepara 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de IU acusa al Ejecutivo de Mariano Rajoy de lanzar “una nueva cortina de humo” con sus filtraciones sobre una posible rebaja generalizada del IRPF mientras “lo que pretenden es favorecer a determinados sectores del poder económico”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anunciado hoy que esta formación ultima su alternativa de reforma fiscal para enfrentar a la que se ha comprometido presentar el Ejecutivo de Mariano Rajoy y de la que los responsables económicos de éste llevan adelantando pinceladas en los medios de comunicación desde hace varias semanas. Lara ha acusado al Gobierno de lanzar “cortinas de humo” con las sucesivas filtraciones sobre una posible rebaja generalizada del IRPF que, finalmente, “lo que pretenden es favorecer a determinados sectores del poder económico”, mientras no descarta subir impuestos indirectos.		Durante la tradicional rueda de prensa de los lunes en la sede federal, Cayo Lara destacó algunas de las propuestas que piensa incluir IU en su alternativa y destacó que se posicionará “radicalmente en contra” de que se puedan volver a tocar al alza los impuestos indirectos, entre ellos el IVA.		El máximo responsable de IU señaló que esta formación llevará al Parlamento medidas “contrapuestas” a la actual política fiscal del Gobierno y que estarán basadas “en el artículo 31 de la Constitución”, en el que se afirma que “todos debemos pagar en función de lo que tenemos y lo que ganamos”. Adelantó la intención de impulsar una iniciativa que unifique la base imponible de la tributación de los salarios y de las rentas del capital porque en la actualidad “los trabajadores y trabajadoras proporcionalmente están pagando al Estado más que los beneficios del capital”, ya que estos últimos sólo suponen “un 12,5 % de los ingresos fiscales del Estado”.		Entre las medidas previstas también se encuentra la de establecer un impuesto a las transacciones financieras que busque gravar la especulación en los mercados financieros, un objetivo que IU defiende activamente como parte de la ‘Plataforma ITF Ya’, junto a otras organizaciones sociales y sindicales.		El paquete de reformas, que cuando se complete contará con más de medio centenar de medidas, también incluye que las grandes compañías que tengan una base imponible superior a 1 millón de euros paguen un 35% en el Impuesto de Sociedades, que es el que grava los beneficios empresariales. En la misma línea se encuadra la iniciativa encaminada a penalizar, tipificándolo como delito, a aquellas empresas que despidan a sus trabajadores habiendo tenido beneficios en el ejercicio anterior.		Cayo Lara ha incidido en la necesidad de realizar una reforma fiscal progresiva y de la propia Agencia Tributaria para mejorar la lucha contra el fraude. Considera que debe hacerse “para que de verdad cumpla con todas sus obligaciones y con una orientación más clara y decidida contra los grandes defraudadores fiscales”.		Destacó que con estas reformas podrían ingresarse hasta “90.000 millones de euros más en la Hacienda pública”, lo que contribuiría de forma decisiva a reducir significativamente el déficit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https://www.notasdeprensa.es/cayo-lara-anuncia-que-iu-ultima-su-alternativa_1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