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Catalá destaca el esfuerzo inversor del Grupo Fomento para la vertebración territorial y la movilidad de los ciudadanos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Infraestructuras, Transporte y Vivienda, Rafael Catalá, ha destacado hoy que se destinará un 51% de los recursos del Grupo Fomento a la inversión productiva que, junto con la vertebración territorial y la movilidad de los ciudadanos, son los objetivos prioritarios del departamento.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comparecencia en el Senado para informar de los presupuestos del Ministerio de Fomento del año 2014, Catalá ha indicado que estos priorizan las inversiones con mayor retorno social y productivo con el fin de superar las desigualdades territoriales, estimular el crecimiento y promover el desarrollo económico a través de la mejora de la calidad y la competitividad de las infraestructuras del transporte.</w:t>
            </w:r>
          </w:p>
          <w:p>
            <w:pPr>
              <w:ind w:left="-284" w:right="-427"/>
              <w:jc w:val="both"/>
              <w:rPr>
                <w:rFonts/>
                <w:color w:val="262626" w:themeColor="text1" w:themeTint="D9"/>
              </w:rPr>
            </w:pPr>
            <w:r>
              <w:t>	El secretario de Estado ha repasado la distribución por sectores del total de la inversión, que queda de la siguiente manera:</w:t>
            </w:r>
          </w:p>
          <w:p>
            <w:pPr>
              <w:ind w:left="-284" w:right="-427"/>
              <w:jc w:val="both"/>
              <w:rPr>
                <w:rFonts/>
                <w:color w:val="262626" w:themeColor="text1" w:themeTint="D9"/>
              </w:rPr>
            </w:pPr>
            <w:r>
              <w:t>		4.573 M€ para ferrocarriles</w:t>
            </w:r>
          </w:p>
          <w:p>
            <w:pPr>
              <w:ind w:left="-284" w:right="-427"/>
              <w:jc w:val="both"/>
              <w:rPr>
                <w:rFonts/>
                <w:color w:val="262626" w:themeColor="text1" w:themeTint="D9"/>
              </w:rPr>
            </w:pPr>
            <w:r>
              <w:t>		2.153 M€ para carreteras</w:t>
            </w:r>
          </w:p>
          <w:p>
            <w:pPr>
              <w:ind w:left="-284" w:right="-427"/>
              <w:jc w:val="both"/>
              <w:rPr>
                <w:rFonts/>
                <w:color w:val="262626" w:themeColor="text1" w:themeTint="D9"/>
              </w:rPr>
            </w:pPr>
            <w:r>
              <w:t>		559 M€ para aeropuertos y seguridad aérea</w:t>
            </w:r>
          </w:p>
          <w:p>
            <w:pPr>
              <w:ind w:left="-284" w:right="-427"/>
              <w:jc w:val="both"/>
              <w:rPr>
                <w:rFonts/>
                <w:color w:val="262626" w:themeColor="text1" w:themeTint="D9"/>
              </w:rPr>
            </w:pPr>
            <w:r>
              <w:t>		861 M€ para política portuaria y seguridad marítima</w:t>
            </w:r>
          </w:p>
          <w:p>
            <w:pPr>
              <w:ind w:left="-284" w:right="-427"/>
              <w:jc w:val="both"/>
              <w:rPr>
                <w:rFonts/>
                <w:color w:val="262626" w:themeColor="text1" w:themeTint="D9"/>
              </w:rPr>
            </w:pPr>
            <w:r>
              <w:t>		788 M€ para actuaciones de vivienda y suelo</w:t>
            </w:r>
          </w:p>
          <w:p>
            <w:pPr>
              <w:ind w:left="-284" w:right="-427"/>
              <w:jc w:val="both"/>
              <w:rPr>
                <w:rFonts/>
                <w:color w:val="262626" w:themeColor="text1" w:themeTint="D9"/>
              </w:rPr>
            </w:pPr>
            <w:r>
              <w:t>		46 M€ para el resto de inversiones</w:t>
            </w:r>
          </w:p>
          <w:p>
            <w:pPr>
              <w:ind w:left="-284" w:right="-427"/>
              <w:jc w:val="both"/>
              <w:rPr>
                <w:rFonts/>
                <w:color w:val="262626" w:themeColor="text1" w:themeTint="D9"/>
              </w:rPr>
            </w:pPr>
            <w:r>
              <w:t>	Ferrocarriles</w:t>
            </w:r>
          </w:p>
          <w:p>
            <w:pPr>
              <w:ind w:left="-284" w:right="-427"/>
              <w:jc w:val="both"/>
              <w:rPr>
                <w:rFonts/>
                <w:color w:val="262626" w:themeColor="text1" w:themeTint="D9"/>
              </w:rPr>
            </w:pPr>
            <w:r>
              <w:t>	Catalá ha indicado que, en materia de ferrocarriles, se mantiene la apuesta por la Alta Velocidad (3.194 M€), la Red Convencional (958 M€), y las Cercanías (121 M€).</w:t>
            </w:r>
          </w:p>
          <w:p>
            <w:pPr>
              <w:ind w:left="-284" w:right="-427"/>
              <w:jc w:val="both"/>
              <w:rPr>
                <w:rFonts/>
                <w:color w:val="262626" w:themeColor="text1" w:themeTint="D9"/>
              </w:rPr>
            </w:pPr>
            <w:r>
              <w:t>	En alta velocidad, los principales Corredores a los que se destinará la inversión son el Corredor Noroeste de Alta Velocidad (1.077 M€); el Corredor Mediterráneo (1.005 M€); el Corredor Norte de Alta Velocidad (750 M€); y el Corredor Sur (85 M€).</w:t>
            </w:r>
          </w:p>
          <w:p>
            <w:pPr>
              <w:ind w:left="-284" w:right="-427"/>
              <w:jc w:val="both"/>
              <w:rPr>
                <w:rFonts/>
                <w:color w:val="262626" w:themeColor="text1" w:themeTint="D9"/>
              </w:rPr>
            </w:pPr>
            <w:r>
              <w:t>	En la Red Convencional, se invertirán 373 M€ dirigidos a la modernización de la red, el impulso al transporte de mercancías especialmente a través de los accesos a los puertos y a las plataformas logísticas.</w:t>
            </w:r>
          </w:p>
          <w:p>
            <w:pPr>
              <w:ind w:left="-284" w:right="-427"/>
              <w:jc w:val="both"/>
              <w:rPr>
                <w:rFonts/>
                <w:color w:val="262626" w:themeColor="text1" w:themeTint="D9"/>
              </w:rPr>
            </w:pPr>
            <w:r>
              <w:t>	Asimismo, se destinarán 121 M€ a Cercanías con el objetivo de optimizar la prestación de los servicios y así conseguir la captación de viajeros. Las actuaciones más importantes se harán en las Cercanías de Madrid (24 M€), Valencia (15 M€) y Sevilla (2 M€).</w:t>
            </w:r>
          </w:p>
          <w:p>
            <w:pPr>
              <w:ind w:left="-284" w:right="-427"/>
              <w:jc w:val="both"/>
              <w:rPr>
                <w:rFonts/>
                <w:color w:val="262626" w:themeColor="text1" w:themeTint="D9"/>
              </w:rPr>
            </w:pPr>
            <w:r>
              <w:t>	Asimismo, Catalá ha destacado los compromisos con la Generalitat de Cataluña para llevar a cabo los proyectos necesarios para la mejora del servicio de Cercanías de Cataluña, por un importe de 72 M€. Además de esta cantidad, existen otras partidas que pueden ser utilizadas para acometer los proyectos.</w:t>
            </w:r>
          </w:p>
          <w:p>
            <w:pPr>
              <w:ind w:left="-284" w:right="-427"/>
              <w:jc w:val="both"/>
              <w:rPr>
                <w:rFonts/>
                <w:color w:val="262626" w:themeColor="text1" w:themeTint="D9"/>
              </w:rPr>
            </w:pPr>
            <w:r>
              <w:t>	Respecto a seguridad, el secretario de Estado ha indicado que la inversión en esta materia es una constante en los planes de inversiones como lo demuestran los 160 M€ que se van a dedicar en 2014.</w:t>
            </w:r>
          </w:p>
          <w:p>
            <w:pPr>
              <w:ind w:left="-284" w:right="-427"/>
              <w:jc w:val="both"/>
              <w:rPr>
                <w:rFonts/>
                <w:color w:val="262626" w:themeColor="text1" w:themeTint="D9"/>
              </w:rPr>
            </w:pPr>
            <w:r>
              <w:t>	Carreteras</w:t>
            </w:r>
          </w:p>
          <w:p>
            <w:pPr>
              <w:ind w:left="-284" w:right="-427"/>
              <w:jc w:val="both"/>
              <w:rPr>
                <w:rFonts/>
                <w:color w:val="262626" w:themeColor="text1" w:themeTint="D9"/>
              </w:rPr>
            </w:pPr>
            <w:r>
              <w:t>	La inversión total en carreteras en 2014 asciende a 2.153 M€, que se distribuyen en construcción de nueva infraestructura (1.148 M€); conservación (818 M€); y convenios con otras Administraciones (187 M€), además de 86 M€ para subvencionar las reducciones de peaje en determinadas autopistas.</w:t>
            </w:r>
          </w:p>
          <w:p>
            <w:pPr>
              <w:ind w:left="-284" w:right="-427"/>
              <w:jc w:val="both"/>
              <w:rPr>
                <w:rFonts/>
                <w:color w:val="262626" w:themeColor="text1" w:themeTint="D9"/>
              </w:rPr>
            </w:pPr>
            <w:r>
              <w:t>	En construcción, el objetivo es el cierre o la continuidad de los principales corredores de gran capacidad, así como la red de carreteras convencionales, con la construcción de distintas variantes y obras de mejora.</w:t>
            </w:r>
          </w:p>
          <w:p>
            <w:pPr>
              <w:ind w:left="-284" w:right="-427"/>
              <w:jc w:val="both"/>
              <w:rPr>
                <w:rFonts/>
                <w:color w:val="262626" w:themeColor="text1" w:themeTint="D9"/>
              </w:rPr>
            </w:pPr>
            <w:r>
              <w:t>	En cuanto a conservación, el Ministerio de Fomento seguirá actuando sobre los más de 26.000 km de Red en servicio y, entre otras actuaciones, se impulsará la licitación de las obras de rehabilitación de firmes retomadas en 2013.</w:t>
            </w:r>
          </w:p>
          <w:p>
            <w:pPr>
              <w:ind w:left="-284" w:right="-427"/>
              <w:jc w:val="both"/>
              <w:rPr>
                <w:rFonts/>
                <w:color w:val="262626" w:themeColor="text1" w:themeTint="D9"/>
              </w:rPr>
            </w:pPr>
            <w:r>
              <w:t>	Transportes</w:t>
            </w:r>
          </w:p>
          <w:p>
            <w:pPr>
              <w:ind w:left="-284" w:right="-427"/>
              <w:jc w:val="both"/>
              <w:rPr>
                <w:rFonts/>
                <w:color w:val="262626" w:themeColor="text1" w:themeTint="D9"/>
              </w:rPr>
            </w:pPr>
            <w:r>
              <w:t>	Catalá ha destacado el incremento de las subvenciones al transporte, instrumento clave en la vertebración territorial y social de España. Por este motivo aumentan las partidas destinadas a la bonificación de billetes de transporte aéreo y marítimo de los residentes en territorios no peninsulares, que superan los 430 M€. Se dedica también una importante partida a la financiación de las Obligaciones de Servicio Público (OSP). Destaca la partida para compensación por los servicios ferroviarios de cercanías y media distancia, que asciende a 816,9 M€; las OSP de transporte aéreo (3,7 M€); y las subvenciones de las Líneas Marítimas de Interés Público (10,4 M€).</w:t>
            </w:r>
          </w:p>
          <w:p>
            <w:pPr>
              <w:ind w:left="-284" w:right="-427"/>
              <w:jc w:val="both"/>
              <w:rPr>
                <w:rFonts/>
                <w:color w:val="262626" w:themeColor="text1" w:themeTint="D9"/>
              </w:rPr>
            </w:pPr>
            <w:r>
              <w:t>	Transporte aéreo</w:t>
            </w:r>
          </w:p>
          <w:p>
            <w:pPr>
              <w:ind w:left="-284" w:right="-427"/>
              <w:jc w:val="both"/>
              <w:rPr>
                <w:rFonts/>
                <w:color w:val="262626" w:themeColor="text1" w:themeTint="D9"/>
              </w:rPr>
            </w:pPr>
            <w:r>
              <w:t>	El presupuesto global de la Dirección General de Aviación Civil asciende a 351 M€ y se destina fundamentalmente a la subvención en el precio del billete aéreo en servicios regulares para los residentes en Canarias, Baleares, Ceuta y Melilla.</w:t>
            </w:r>
          </w:p>
          <w:p>
            <w:pPr>
              <w:ind w:left="-284" w:right="-427"/>
              <w:jc w:val="both"/>
              <w:rPr>
                <w:rFonts/>
                <w:color w:val="262626" w:themeColor="text1" w:themeTint="D9"/>
              </w:rPr>
            </w:pPr>
            <w:r>
              <w:t>	Transporte marítimo y puertos		El esfuerzo presupuestario se centrará en las subvenciones al transporte marítimo de los residentes no peninsulares y de las líneas de interés público, así como en la seguridad marítima y la lucha contra la contaminación. Además, destacan los 6 M€ que se destinan para subvencionar el funcionamiento de las Autopistas del Mar entre España y Francia.</w:t>
            </w:r>
          </w:p>
          <w:p>
            <w:pPr>
              <w:ind w:left="-284" w:right="-427"/>
              <w:jc w:val="both"/>
              <w:rPr>
                <w:rFonts/>
                <w:color w:val="262626" w:themeColor="text1" w:themeTint="D9"/>
              </w:rPr>
            </w:pPr>
            <w:r>
              <w:t>	Por su parte, la inversión presupuestada en puertos para 2014 asciende a 776 M€, con un incremento del 5,8% sobre el presupuesto de 2013.</w:t>
            </w:r>
          </w:p>
          <w:p>
            <w:pPr>
              <w:ind w:left="-284" w:right="-427"/>
              <w:jc w:val="both"/>
              <w:rPr>
                <w:rFonts/>
                <w:color w:val="262626" w:themeColor="text1" w:themeTint="D9"/>
              </w:rPr>
            </w:pPr>
            <w:r>
              <w:t>	Vivienda</w:t>
            </w:r>
          </w:p>
          <w:p>
            <w:pPr>
              <w:ind w:left="-284" w:right="-427"/>
              <w:jc w:val="both"/>
              <w:rPr>
                <w:rFonts/>
                <w:color w:val="262626" w:themeColor="text1" w:themeTint="D9"/>
              </w:rPr>
            </w:pPr>
            <w:r>
              <w:t>	Catalá ha indicado que los objetivos fundamentales del Ministerio son apoyar el alquiler, especialmente para quienes disponen de menores niveles de renta y fomentar la rehabilitación de edificios, y la regeneración y renovación urbanas, para conseguir unas ciudades con mayor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https://www.notasdeprensa.es/catala-destaca-el-esfuerzo-inversor-del-grupo_1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