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Carmila y El Consejo Andaluz de Cámaras renuevan su colaboración para impulsar el comercio de la región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colaboración con la empresa que gestiona las galerías comerciales de los 20 centros de Carrefour en Andalucía permite reforzar los lazos cada vez más estrechos para dinamizar el comercio y apoyar a los pequeños emprendedores locales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Andaluz de Cámaras de Comercio y Carmila han firmado un nuevo acuerdo de colaboración por segundo año consecutivo con el objetivo de impulsar la actividad comercial y el empleo de la comunidad autónoma a través de los 20 centros comerciales contiguos a hipermercados Carrefour en Andalucía, de los 78 que posee en toda España. Estas galerías comerciales en los centros andaluces ocupan una superficie de más de 420.000 m².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renovación se engloba en la estrategia de innovación y Responsabilidad Social Corporativa de la compañía bajo su programa “Aquí Actuamos” por el territorio, y se pondrán en marcha, una vez más, varias iniciativas entre las que se encuentran la organización de webinars y talleres relacionados con las últimas tendencias en el sector retail y comercio a disposición de los comerciantes de los centros que la inmobiliaria gestiona en Andalucía.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Carmila estará presente y colaborará en los eventos organizados por las diferentes Cámaras de Comercio participando en foros de empleo, realizando ponencias, jornadas formativas y acciones de lanzamiento para comerciantes y emprendedores. Todas estas actividades nacen con el objetivo de potenciar el desarrollo de la actividad de los operadores, aumentar su visibilidad y mejorar sus estrategias.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renovación del acuerdo se ha hecho efectiva con la firma de la directora gerente de las Cámaras andaluzas, Mercedes León, y la Presidenta-Directora General de Carmila, Marie Cheval, que estuvieron acompañadas de la secretaria general del Consejo cameral andaluz, Estrella Freire, y el Director General de Camila en España e Italia, Sebastián Palacios. Con este convenio se pretende conectar cada vez más a la inmobiliaria con comerciantes y pequeños emprendedores locales para fomentar el desarrollo de sus proyectos y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directora gerente del Consejo Andaluz de Cámaras, Mercedes León, considera este convenio “un impulso a la colaboración efectiva con la iniciativa privada para dinamizar la actividad del comercio andaluz y para fomentar nuevos proyectos generadores de empleo y riqueza, aprovechando el lugar privilegiado y las potencialidades que ofrecen estos los locales anexos a estos hipermercados”.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“Estar cerca de los comerciantes y pequeños emprendedores andaluces es primordial. Ésta es la región donde se encuentra la mayor parte de nuestros centros y nuestro principal objetivo es impulsar la actividad comercial y el empleo en la región”, declara Marie Cheval, CEO de Carmila.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Andaluz de Cámaras de Comercio refuerza su función y compromiso con el desarrollo del comercio en la región, llevando a cabo planes de acción y proyectos dirigidos al despegue de pequeñas y medianas empresas del sector como se recoge en este convenio. Además, Carmila sigue apostando por la integración local en sus diferentes áreas de influencia, creando sinergias que potencien el comercio.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Irene Calle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917 81 39 87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https://www.notasdeprensa.es/carmila-y-el-consejo-andaluz-de-camaras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Andalucia Emprendedores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