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13/12/2022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BIM, una apuesta firme del Ministerio de Transportes, Movilidad y Agenda Urbana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metodología Building Information Modeling se pone en valor en un monográfico de la revista de la normalización española UNE, como un vector para impulsar la innovación y transformación digital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BIM y las ventajas que conlleva, como la eficiencia y sostenibilidad, la unificación de recursos, la oportunidad de anticiparse a posibles errores o de prevenir sobrecostes en el presupuesto de los proyectos del sector AECO, es una apuesta cada vez más firme por parte del sector público.</w:t>
            </w:r>
          </w:p>
          <w:p>
            <w:pPr>
              <w:ind w:left="-284" w:right="-427"/>
              <w:jc w:val="both"/>
              <w:rPr>
                <w:rFonts/>
                <w:color w:val="262626" w:themeColor="text1" w:themeTint="D9"/>
              </w:rPr>
            </w:pPr>
            <w:r>
              <w:t>El Ministerio de Transportes, Movilidad y Agenda Urbana (MITMA) acaba de manifestar públicamente su apoyo al uso de esta metodología de trabajo colaborativo, a favor de cuya implantación trabaja de forma decidida, y en conjunto con el resto de departamentos, desde la Comisión Interministerial BIM. Así lo ha destacado el subsecretario del MITMA y presidente de la Comisión Interministerial para la incorporación de Building Information Modeling en la Administración General del Estado y sus organismos dependientes, Jesús Manuel Gómez, en una tribuna de opinión publicada en un monográfico de UNE, la revista de la normalización española, dedicado a los modelos digitales aplicados a la industria de la construcción y que ha visto la luz bajo la firma de Aitor Aragón, Responsable de BIM y construcción sostenible en UNE.</w:t>
            </w:r>
          </w:p>
          <w:p>
            <w:pPr>
              <w:ind w:left="-284" w:right="-427"/>
              <w:jc w:val="both"/>
              <w:rPr>
                <w:rFonts/>
                <w:color w:val="262626" w:themeColor="text1" w:themeTint="D9"/>
              </w:rPr>
            </w:pPr>
            <w:r>
              <w:t>En el número de la revista correspondiente a noviembre de este 2022, centrado en el impulso de los estándares a la inteligencia artificial, el subsecretario del MITMA ha destacado que Building Information Modeling es "un vector para canalizar e impulsar la innovación y la transformación digital y sostenible del sector de la construcción y del entorno construido, y una herramienta para la consecución de los objetivos de eficacia, eficiencia y sostenibilidad del gasto en la contratación pública".</w:t>
            </w:r>
          </w:p>
          <w:p>
            <w:pPr>
              <w:ind w:left="-284" w:right="-427"/>
              <w:jc w:val="both"/>
              <w:rPr>
                <w:rFonts/>
                <w:color w:val="262626" w:themeColor="text1" w:themeTint="D9"/>
              </w:rPr>
            </w:pPr>
            <w:r>
              <w:t>Asimismo, ha destacado que, según datos del Observatorio de Licitaciones Públicas BIM, esta metodología colaborativa tiene un uso potencial que asciende al 23% del presupuesto total de licitación de las Administraciones Públicas. Y estas podrían beneficiarse de un ahorro de costes de unos 2.400 millones de euros gracias al uso potencial de Building Information Modeling.</w:t>
            </w:r>
          </w:p>
          <w:p>
            <w:pPr>
              <w:ind w:left="-284" w:right="-427"/>
              <w:jc w:val="both"/>
              <w:rPr>
                <w:rFonts/>
                <w:color w:val="262626" w:themeColor="text1" w:themeTint="D9"/>
              </w:rPr>
            </w:pPr>
            <w:r>
              <w:t>En el monográfico de UNE, que incluye además tribunas de Eduard Loscos sobre el uso de modelos digitales aplicados a la construcción, así como de Sergio Muñoz, presidente de buildingSMART Spain, sobre ayuda a la adopción de los estándares BIM, se hace hincapié en cómo los modelos digitales de activos construidos facilitan una gestión colaborativa entre los agentes implicados en la cadena de valor, desde proyectistas hasta propietarios y gestores, pasando por constructores o fabricantes de materiales. En combinación con otras tecnologías, como sensorización, GIS o DLT, han impulsado un nuevo ecosistema digital en la industria de la construcción preparado para hacer frente a los desafíos del mundo actual.</w:t>
            </w:r>
          </w:p>
          <w:p>
            <w:pPr>
              <w:ind w:left="-284" w:right="-427"/>
              <w:jc w:val="both"/>
              <w:rPr>
                <w:rFonts/>
                <w:color w:val="262626" w:themeColor="text1" w:themeTint="D9"/>
              </w:rPr>
            </w:pPr>
            <w:r>
              <w:t>Cada vez más profesionales, tanto del ámbito público como del privado, apuestan por esta metodología de trabajo, y una muestra de ello es el progresivo aumento que se ha registrado en los últimos años en la demanda de una formación especializada y de calidad en Building Information Modeling, en especial a través de máster BIM online, la opción más solicitada y mejor valorada en el sector.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Paula Etxeberria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649 71 88 24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https://www.notasdeprensa.es/bim-una-apuesta-firme-del-ministerio-de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E-Commerce Construcción y Materiales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