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supera los 1.000 millones de euros en financiación a empresas, pymes y autónomos con Líneas 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beneficiarios destinan este importe a financiar nuevos proyectos de inversión y/o a cubrir necesidades de liquidez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alcanza una cuota de mercado del 9,28% en estas líneas de financiación</w:t>
            </w:r>
          </w:p>
          <w:p>
            <w:pPr>
              <w:ind w:left="-284" w:right="-427"/>
              <w:jc w:val="both"/>
              <w:rPr>
                <w:rFonts/>
                <w:color w:val="262626" w:themeColor="text1" w:themeTint="D9"/>
              </w:rPr>
            </w:pPr>
            <w:r>
              <w:t>	Este importe se destina a financiar nuevos proyectos de inversión y/o a cubrir necesidades de liquidez de empresas, pymes y autónomos.</w:t>
            </w:r>
          </w:p>
          <w:p>
            <w:pPr>
              <w:ind w:left="-284" w:right="-427"/>
              <w:jc w:val="both"/>
              <w:rPr>
                <w:rFonts/>
                <w:color w:val="262626" w:themeColor="text1" w:themeTint="D9"/>
              </w:rPr>
            </w:pPr>
            <w:r>
              <w:t>	Con estas cifras, Bankia alcanza una cuota de mercado en líneas ICO del 9,28%.</w:t>
            </w:r>
          </w:p>
          <w:p>
            <w:pPr>
              <w:ind w:left="-284" w:right="-427"/>
              <w:jc w:val="both"/>
              <w:rPr>
                <w:rFonts/>
                <w:color w:val="262626" w:themeColor="text1" w:themeTint="D9"/>
              </w:rPr>
            </w:pPr>
            <w:r>
              <w:t>	Más de la mitad de la financiación otorgada por Bankia bajo estas líneas se ha realizado en los últimos cuatro meses. Ello es debido a la mayor demanda solvente detectada en el mercado, que se ha visto favorecida por la rebaja de los costes de financiación derivados de la caída de la prima de riesgo española.</w:t>
            </w:r>
          </w:p>
          <w:p>
            <w:pPr>
              <w:ind w:left="-284" w:right="-427"/>
              <w:jc w:val="both"/>
              <w:rPr>
                <w:rFonts/>
                <w:color w:val="262626" w:themeColor="text1" w:themeTint="D9"/>
              </w:rPr>
            </w:pPr>
            <w:r>
              <w:t>	Todo hace indicar que la importante aceleración experimentada en el tercer trimestre del año previsiblemente continuará incrementándose hasta el cierre de las Líneas ICO, el próximo 13 de diciembre.</w:t>
            </w:r>
          </w:p>
          <w:p>
            <w:pPr>
              <w:ind w:left="-284" w:right="-427"/>
              <w:jc w:val="both"/>
              <w:rPr>
                <w:rFonts/>
                <w:color w:val="262626" w:themeColor="text1" w:themeTint="D9"/>
              </w:rPr>
            </w:pPr>
            <w:r>
              <w:t>	Una de las líneas más demandada es Empresas y Emprendedores, destinada a financiar inversiones o proporcionar liquidez a empresas en España. A través de la misma, Bankia ha financiado un importe superior a 820 millones de euros hasta mediados de noviembre de 2013.</w:t>
            </w:r>
          </w:p>
          <w:p>
            <w:pPr>
              <w:ind w:left="-284" w:right="-427"/>
              <w:jc w:val="both"/>
              <w:rPr>
                <w:rFonts/>
                <w:color w:val="262626" w:themeColor="text1" w:themeTint="D9"/>
              </w:rPr>
            </w:pPr>
            <w:r>
              <w:t>	Hay que destacar el incremento de la demanda de las líneas destinadas a impulsar la expansión internacional de las empresas españolas.</w:t>
            </w:r>
          </w:p>
          <w:p>
            <w:pPr>
              <w:ind w:left="-284" w:right="-427"/>
              <w:jc w:val="both"/>
              <w:rPr>
                <w:rFonts/>
                <w:color w:val="262626" w:themeColor="text1" w:themeTint="D9"/>
              </w:rPr>
            </w:pPr>
            <w:r>
              <w:t>	A través de la Línea ICO Exportadores corto plazo, destinada a financiar empresas y autónomos que desean obtener liquidez mediante el anticipo de las facturas procedentes de su actividad exportadora, Bankia ha concedido más de 180 millones de euros. Esta cuantía la sitúa con una cuota de mercado del 19,64% en esta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https://www.notasdeprensa.es/bankia-supera-los-1-000-millones-de-euros-en_1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