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ofrecerá condiciones ventajosas a los comercios integrantes de Palencia Abierta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comerciantes y sus familiares tendrán condiciones favorables en financiación, medios de pago, productos de ahorro e inversión y seguros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convenio posibilita un mayor acercamiento al comercio palentino y se enmarca dentro de la habitual línea de cooperación entre Bankia e instituciones con amplia notoriedad económica y social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y la Asociación Comercial Palencia Abierta (CCPA) han firmado un acuerdo de colaboración financiera que permitirá a los asociados y a sus familiares acceder a un conjunto integral de productos y servicios de la entidad con condiciones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cubrirá tanto las necesidades financieras de los comerciantes, como las domésticas de todos los asociados y sus familiares. El convenio posibilita un mayor acercamiento al comercio de Palencia, representado por la asociación, un colectivo muy relevante de la capital palentina.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acto de firma de este convenio asistieron Judit Castro, en representación de la asociación, y Miguel Martinez, director de Zona de Bankia en Palencia.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"Bankia Sin Comisiones"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el convenio, los asociados estarán exentos del pago de las principales comisiones de servicio en todas sus cuentas, a través del programa "Bankia Sin Comisiones".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podrán acceder a productos de ahorro e inversión, como depósitos, fondos de inversión y planes de pensiones, en condiciones favorables, así como a financiación tanto de la actividad profesional como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potenciar los medios de pago y contribuir a incrementar los niveles de venta de los comercios, se establecen condiciones muy ventajosas para los TPV o datáfonos.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también incluye una amplia gama de seguros para la cobertura de la actividad empresarial, como la póliza multirriesgo de comercio de Mapfre o las pólizas colectivas de accidentes y de vida,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se enmarca dentro de la habitual línea de cooperación entre Bankia y las instituciones con una amplia notoriedad económica y social en esta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Productos de financiación a la vanguardia del sector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quiere financiar proyectos empresariales y tener un rol activo en la prestación de servicios financieros, para lo que se ha dotado de un catálogo de productos y unas herramientas a la vanguardia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objetivos, se ha propuesto ser la entidad de referencia para las empresas, pymes, comercios y autónomos. Por ello, una de sus prioridades es atender la financiación que necesitan estos clientes y apoyarles en el desarrollo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Plan Estratégico, la entidad se ha comprometido a poner a disposición del colectivo empresarial financiación por 43.500 millones de euros durante el periodo 2013-2015, lo que supone el 84% del total de crédito previsto para este periodo.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https://www.notasdeprensa.es/bankia-ofrecera-condiciones-ventajosas-a-los_1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