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10/12/2014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Bankia mantiene su compromiso de alcanzar una rentabilidad del 10% en 2015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Bankia se ha comprometido hoy a alcanzar una rentabilidad sobre recursos propios (ROE) de al menos el 10% a final del próximo año, tal y como establece su Plan Estratégico 2012-2015, y pese a las dificultades que suponen para el negocio bancario los bajos tipos de interés y los reducidos volúmenes de negocio, más severos de lo previsto cuando se presentó el plan en noviembre de 2012.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José Sevilla, consejero delegado de la entidad, ha explicado que se alcanzará el objetivo principal del Plan Estratégico pese al difícil entorno de tipos de interés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Sevilla destaca que el flujo de crédito empieza crecer en nuevas operaciones para pymes y hogares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La banca española está mejor situada que sus competidores europeos tras haber realizado una reestructuración más profunda y haberse situado a la cabeza del continente en eficiencia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consejero delegado de Bankia, José Sevilla, ha recordado en su intervención en el  and #39;10º Encuentro del Sector Bancario and #39;, organizado por IESE, que la entidad ha cumplido con más de un año de antelación prácticamente todos los objetivos que se había marcado en su plan trienal y ha incidido en que también se cumplirá el objetivo básico de llegar a un ROE de al menos el 10%.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Y esto se logrará, según Sevilla, pese al actual entorno complicado para el sector financiero, con tipos de interés muy bajos, escaso crecimiento de los balances y disminución de la rentabilidad del crédito.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No obstante, el consejero delegado de Bankia destacó que también empiezan a verse signos positivos en el horizonte, como el crecimiento en las nuevas operaciones de crédito para pymes y hogares (+17,3% entre octubre de 2013 y octubre de 2014), entre las que destacan los créditos al consumo de particulares y los préstamos para pymes.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mejora que poco a poco se está viendo y va a verse en España es consecuencia, ahondó Sevilla, de los esfuerzos realizados en la reestructuración del sistema financiero nacional, mucho más profunda que en el resto de Europa y de Estados Unidos.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Así, en España se ha disminuido un 19% la plantilla de las entidades, frente al 8% de la UE y la estabilidad en Estados Unidos, al tiempo que se ha reducido el 24% la red de sucursales, frente al 11% de la UE y el 3% de Estados Unidos.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Todo ello ha permitido una mejora en la eficiencia de recursos con respecto a Europa y una mayor productividad (en cinco años han crecido un 19% los activos por empleado y un 26% los activos por oficina), que permiten mantener una ventaja en eficiencia de los bancos españoles frente a los europeos precisamente en el momento en el que empieza a caminar la supervisión única bancaria.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Bankia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https://www.notasdeprensa.es/bankia-mantiene-su-compromiso-de-alcanzar-una_1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Finanzas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