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vende su negocio de gestión y recobro de  deudas impagadas a Lindorff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Sabadell ha llegado a un acuerdo con Lindorff España para la transmisión de su negocio de gestión y recobro de deudas impagadas. El precio de la operación asciende a los 162 millones de euros, generando una plusvalía bruta por el mismo importe.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El acuerdo se ha instrumentado mediante la venta del negocio, complementándose así mismo con la prestación de servicios de gestión y recobro de activos en mora por parte de Lindorff España por un período inicial de diez años.   		Esta operación, que comporta la optimización de los procesos de gestión y recobro tanto por lo que respecta a su stock actual de activos en mora como a futuros activos que se vayan añadiendo durante el período de vigencia establecido en el contrato, se enmarca en la estrategia del grupo Banco Sabadell de transformación de su balance, tal y como queda definido en su plan estratégico 2014-2016, Plan Triple.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https://www.notasdeprensa.es/banco-sabadell-vende-su-negocio-de-gestion-y_1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