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vende 554 millones de créditos totalmente provisionados al inversor Aiqon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marco de su estrategia de transformación del balance, tal y como queda definido en su plan estratégico 2014-2016, el Plan Triple, Banco Sabadell ha vendido una cartera de créditos totalmente provisionados, de un volumen total de 554 millones de euros, al inversor internacional Aiqon Capital, en la operación denominada Proyecto Siroco, transfiriendo de esta forma el riesgo de estas carteras. </w:t>
            </w:r>
          </w:p>
          <w:p>
            <w:pPr>
              <w:ind w:left="-284" w:right="-427"/>
              <w:jc w:val="both"/>
              <w:rPr>
                <w:rFonts/>
                <w:color w:val="262626" w:themeColor="text1" w:themeTint="D9"/>
              </w:rPr>
            </w:pPr>
            <w:r>
              <w:t>	Según Miguel Montes, director general de Banco Sabadell: “Esta operación es una nueva muestra de la capacidad del banco de generar transacciones que ayudan a reducir la exposición  de activos no estratégicos.”</w:t>
            </w:r>
          </w:p>
          <w:p>
            <w:pPr>
              <w:ind w:left="-284" w:right="-427"/>
              <w:jc w:val="both"/>
              <w:rPr>
                <w:rFonts/>
                <w:color w:val="262626" w:themeColor="text1" w:themeTint="D9"/>
              </w:rPr>
            </w:pPr>
            <w:r>
              <w:t>	La operación se ha llevado a cabo por medio de un proceso de venta competitivo que ha generado una gran demanda inversora y que posiciona la entidad como uno de los actores principales de este tipo de carteras. La gestión de la transacción ha sido asumida por el equipo de operaciones estructuradas, que pertenece a la Dirección de Mercados Institucionales del área de Gestión de Activos del banco.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https://www.notasdeprensa.es/banco-sabadell-vende-554-millones-de-creditos_1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