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supera el análisis del BCE, previo a la Unión Bancaria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 Sabadell ha superado el análisis global que el Banco Central Europeo (BCE), en el marco del Mecanismo Único de Supervisión, ha llevado a cabo a los 128 mayores bancos del área del euro, conjuntamente con las autoridades nacionales y en estrecha cooperación con la European Banking Authority (EBA).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análisis, cuyos resultados se han hecho públicos hoy, ha concluido que las valoraciones de los activos y colaterales de Banco Sabadell, así como sus provisiones, son adecuadas y que Banco Sabadell no tiene necesidades de capital adicionales en ninguno de los escenarios planteados. 		Para el presidente de Banco Sabadell, José Oliu, el resultado del doble análisis del BCE “ratifica la fortaleza de Banco Sabadell en términos de solvencia y evidencia, una vez más, el acierto de la gestión activa del balance y del capital que venimos llevando a cabo; ha sido un riguroso ejercicio de transparencia que transmite asimismo confianza a nuestros accionistas, clientes y empleados, y cuyo resultado nos sitúa entre las entidades más sólidas de Europa tras la severa crisis que hemos vivido en los últimos años y en el histórico momento en el que va a entrar en vigor la Unión Bancaria”. 		En concreto, del análisis de la calidad de los activos ( asset quality  review), no se ha derivado ningún ajuste a las valoraciones que presentaba Banco Sabadell a 31 de diciembre de 2013, mientras que la prueba de resistencia ( stress test) del balance a escenarios estresados ha puesto de manifiesto un exceso de capital de más de 1.700 millones de euros en el escenario base, y de más de 2.200 millones de euros en el escenario considerado de máxima adversidad. En este sentido, hay que destacar que Banco Sabadell es el único banco español al que no se le ha realizado ningún ajuste en su ratio de capital de partida una vez realizado el Asset Quality Review. En esta situación, únicamente se encuentran quince entidades en toda Europa. 		El escrutinio global del BCE pone de manifiesto que Banco Sabadell cuenta con una ratio de capital Tier1 ( CET1 ratio) del 10,26% y que, en el escenario más adverso analizado, esta ratio se situaría en el 8,33%, muy por encima del mínimo exigido del 5,5%. 		El análisis efectuado por el BCE ha sido un ejercicio de transparencia riguroso, exhaustivo y homogéneo, que, en el caso de Banco Sabadell, ha implicado a más de 250 profesionales de las áreas financiera, riesgos, asesoría jurídica, operaciones, tecnología y auditoría, quienes, durante los últimos once meses, han coordinado la revisión de las operaciones de una amplia y significativa muestra de clientes y la tasación de activos inmobiliarios.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https://www.notasdeprensa.es/banco-sabadell-supera-el-analisis-del-bce_1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