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obtiene un beneficio neto de 81,2 millones de euros, un 58,8% superior al del mismo período del año anterior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Banco Sabadell ha cerrado el primer trimestre de 2014 en línea con los objetivos del nuevo Plan Director Triple 2014-2016 y obteniendo un beneficio neto atribuido de 81,2 millones de euros, que es un 58,8% superior al registrado tras el mismo período del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margen de intereses crece un 17,5% de un año a otro. El margen bruto es un 87,3% superior y el margen antes de dotaciones aumenta un 167,6%, superando ampliamente las previsiones del consenso de mercado.		</w:t>
            </w:r>
          </w:p>
          <w:p>
            <w:pPr>
              <w:ind w:left="-284" w:right="-427"/>
              <w:jc w:val="both"/>
              <w:rPr>
                <w:rFonts/>
                <w:color w:val="262626" w:themeColor="text1" w:themeTint="D9"/>
              </w:rPr>
            </w:pPr>
            <w:r>
              <w:t>		La ratio de morosidad mejora en seis puntos básicos por primera vez en los últimos seis años y el stock de activos problemáticos ex-EPA disminuye en 169 millones de euros.		</w:t>
            </w:r>
          </w:p>
          <w:p>
            <w:pPr>
              <w:ind w:left="-284" w:right="-427"/>
              <w:jc w:val="both"/>
              <w:rPr>
                <w:rFonts/>
                <w:color w:val="262626" w:themeColor="text1" w:themeTint="D9"/>
              </w:rPr>
            </w:pPr>
            <w:r>
              <w:t>		Los resultados extraordinarios obtenidos por operaciones financieras permiten acumular 811 millones de euros más en provisiones. La cobertura sobre el total de la exposición crediticia y la cartera de inmuebles alcanza así el 14%, una de las más altas del sistema.</w:t>
            </w:r>
          </w:p>
          <w:p>
            <w:pPr>
              <w:ind w:left="-284" w:right="-427"/>
              <w:jc w:val="both"/>
              <w:rPr>
                <w:rFonts/>
                <w:color w:val="262626" w:themeColor="text1" w:themeTint="D9"/>
              </w:rPr>
            </w:pPr>
            <w:r>
              <w:t>	Este resultado, contabilizado tras destinar 1.096,5 millones de euros a dotaciones para insolvencias y nuevas provisiones sobre la cartera de valores e inmuebles, en los que se incluyen los 811 millones de euros no recurrentes del trimestre, ratifica la inflexión apuntada ya en los últimos trimestres de 2013 y refleja asimismo la capacidad de Banco Sabadell para generar resultados positivos y mantener una sólida progresión sobre la base del negocio ordinario.</w:t>
            </w:r>
          </w:p>
          <w:p>
            <w:pPr>
              <w:ind w:left="-284" w:right="-427"/>
              <w:jc w:val="both"/>
              <w:rPr>
                <w:rFonts/>
                <w:color w:val="262626" w:themeColor="text1" w:themeTint="D9"/>
              </w:rPr>
            </w:pPr>
            <w:r>
              <w:t>	La mejora sustancial de los márgenes, superando ampliamente lo esperado por el consenso de mercado; la favorable evolución de la captación y los recursos de clientes y las cuotas de negocio, y la reducción, por primera vez desde el inicio de la crisis en 2008, de la morosidad y los activos adjudicados, caracterizan un primer trimestre en el que se ha completado la integración contable y tecnológica de Banco Gallego y Lloyds Bank España.</w:t>
            </w:r>
          </w:p>
          <w:p>
            <w:pPr>
              <w:ind w:left="-284" w:right="-427"/>
              <w:jc w:val="both"/>
              <w:rPr>
                <w:rFonts/>
                <w:color w:val="262626" w:themeColor="text1" w:themeTint="D9"/>
              </w:rPr>
            </w:pPr>
            <w:r>
              <w:t>	Balance y resultados</w:t>
            </w:r>
          </w:p>
          <w:p>
            <w:pPr>
              <w:ind w:left="-284" w:right="-427"/>
              <w:jc w:val="both"/>
              <w:rPr>
                <w:rFonts/>
                <w:color w:val="262626" w:themeColor="text1" w:themeTint="D9"/>
              </w:rPr>
            </w:pPr>
            <w:r>
              <w:t>	Al cierre del primer trimestre de 2014, los activos totales de Banco Sabadell y su grupo suman 161.093,9 millones de euros.</w:t>
            </w:r>
          </w:p>
          <w:p>
            <w:pPr>
              <w:ind w:left="-284" w:right="-427"/>
              <w:jc w:val="both"/>
              <w:rPr>
                <w:rFonts/>
                <w:color w:val="262626" w:themeColor="text1" w:themeTint="D9"/>
              </w:rPr>
            </w:pPr>
            <w:r>
              <w:t>	La inversión crediticia bruta de clientes totaliza 123.509,5 millones de euros y crece un 5,0% en términos interanuales, fundamentalmente por la incorporación de los nuevos negocios al perímetro de consolidación.</w:t>
            </w:r>
          </w:p>
          <w:p>
            <w:pPr>
              <w:ind w:left="-284" w:right="-427"/>
              <w:jc w:val="both"/>
              <w:rPr>
                <w:rFonts/>
                <w:color w:val="262626" w:themeColor="text1" w:themeTint="D9"/>
              </w:rPr>
            </w:pPr>
            <w:r>
              <w:t>	Los préstamos con garantía hipotecaria representan, al cierre del primer trimestre, cerca del 46% del total de la inversión crediticia bruta, con un saldo de 56.264,6 millones de euros, un 3,1% más que hace un año. En términos relativos, es relevante asimismo el crecimiento registrado en la partida de préstamos con garantía personal, con un saldo de 23.066,4 millones de euros y un crecimiento interanual del 6,5%.</w:t>
            </w:r>
          </w:p>
          <w:p>
            <w:pPr>
              <w:ind w:left="-284" w:right="-427"/>
              <w:jc w:val="both"/>
              <w:rPr>
                <w:rFonts/>
                <w:color w:val="262626" w:themeColor="text1" w:themeTint="D9"/>
              </w:rPr>
            </w:pPr>
            <w:r>
              <w:t>	Igualmente significativos son los datos de la nueva producción crediticia que, tanto en particulares como en empresas, muestra ya señales positivas, con significativos incrementos interanuales en hipotecas (47%), consumo (30%), circulante (8%) y resto de financiación a empresas (12%).</w:t>
            </w:r>
          </w:p>
          <w:p>
            <w:pPr>
              <w:ind w:left="-284" w:right="-427"/>
              <w:jc w:val="both"/>
              <w:rPr>
                <w:rFonts/>
                <w:color w:val="262626" w:themeColor="text1" w:themeTint="D9"/>
              </w:rPr>
            </w:pPr>
            <w:r>
              <w:t>	La ratio de morosidad sobre el total de riesgos computables del grupo Banco Sabadell, sin considerar los activos afectos al esquema de protección de activos de Banco CAM, es del 13,6% y disminuye 6 puntos básicos en los últimos tres meses.</w:t>
            </w:r>
          </w:p>
          <w:p>
            <w:pPr>
              <w:ind w:left="-284" w:right="-427"/>
              <w:jc w:val="both"/>
              <w:rPr>
                <w:rFonts/>
                <w:color w:val="262626" w:themeColor="text1" w:themeTint="D9"/>
              </w:rPr>
            </w:pPr>
            <w:r>
              <w:t>	La cobertura sobre el total de la exposición crediticia y la cartera de inmuebles alcanza el 14,0% (13,8% en marzo de 2013) y se sitúa como una de las más altas del sistema. La cobertura sobre el total de la exposición no inmobiliaria es del 6,5%.</w:t>
            </w:r>
          </w:p>
          <w:p>
            <w:pPr>
              <w:ind w:left="-284" w:right="-427"/>
              <w:jc w:val="both"/>
              <w:rPr>
                <w:rFonts/>
                <w:color w:val="262626" w:themeColor="text1" w:themeTint="D9"/>
              </w:rPr>
            </w:pPr>
            <w:r>
              <w:t>	El ritmo de ventas de inmuebles mantiene el excelente ritmo de trimestres anteriores y con menores descuentos que hace un año. Así, al cierre del primer trimestre, los ingresos por ventas crecen un 42% interanual (657 millones de euros) por la venta de 3.271 viviendas, un 13% más que tras el primer trimestre del año anterior.</w:t>
            </w:r>
          </w:p>
          <w:p>
            <w:pPr>
              <w:ind w:left="-284" w:right="-427"/>
              <w:jc w:val="both"/>
              <w:rPr>
                <w:rFonts/>
                <w:color w:val="262626" w:themeColor="text1" w:themeTint="D9"/>
              </w:rPr>
            </w:pPr>
            <w:r>
              <w:t>	A 31 de marzo de 2014, los recursos de clientes en balance presentan un saldo de 94.690,0 millones de euros y crecen un 14,5% interanual con respecto a la misma fecha de 2013. Es destacable la favorable evolución de las cuentas a la vista, que se incrementan un 28,4% y suman 37.082,2 millones de euros, y los depósitos a plazo, que, durante el mismo período, aumentan un 12,7% y alcanzan un saldo de 60.674,8 millones de euros.</w:t>
            </w:r>
          </w:p>
          <w:p>
            <w:pPr>
              <w:ind w:left="-284" w:right="-427"/>
              <w:jc w:val="both"/>
              <w:rPr>
                <w:rFonts/>
                <w:color w:val="262626" w:themeColor="text1" w:themeTint="D9"/>
              </w:rPr>
            </w:pPr>
            <w:r>
              <w:t>	La evolución de la inversión crediticia de clientes y de los recursos de clientes en balance ha permitido mejorar el gap o excedente comercial en 1.321,5 millones de euros y situar la ratio créditos/depósitosen el 104,6% (116,6% un año antes) después de los tres primeros meses del ejercicio, en línea con el objetivo del Plan Triple de rebajar esta ratio hasta el 100%.</w:t>
            </w:r>
          </w:p>
          <w:p>
            <w:pPr>
              <w:ind w:left="-284" w:right="-427"/>
              <w:jc w:val="both"/>
              <w:rPr>
                <w:rFonts/>
                <w:color w:val="262626" w:themeColor="text1" w:themeTint="D9"/>
              </w:rPr>
            </w:pPr>
            <w:r>
              <w:t>	El patrimonio en fondos y sociedades de inversión colectiva es de 12.318,1 millones de euros, un 37,1% superior al total registrado al cierre del primer trimestre de 2013. Los fondos de pensiones comercializados presentan un saldo patrimonial de 4.313,8 millones de euros y aumentan un 15,6% de un año a otro. Finalmente, los seguros comercializados se incrementan un 9,7% interanual y suman 7.972,9 millones de euros.</w:t>
            </w:r>
          </w:p>
          <w:p>
            <w:pPr>
              <w:ind w:left="-284" w:right="-427"/>
              <w:jc w:val="both"/>
              <w:rPr>
                <w:rFonts/>
                <w:color w:val="262626" w:themeColor="text1" w:themeTint="D9"/>
              </w:rPr>
            </w:pPr>
            <w:r>
              <w:t>	El total de recursos gestionados a 31 de marzo de 2014 asciende a 150.200,5 millones de euros, un 12,4% más que en la misma fecha del año anterior.</w:t>
            </w:r>
          </w:p>
          <w:p>
            <w:pPr>
              <w:ind w:left="-284" w:right="-427"/>
              <w:jc w:val="both"/>
              <w:rPr>
                <w:rFonts/>
                <w:color w:val="262626" w:themeColor="text1" w:themeTint="D9"/>
              </w:rPr>
            </w:pPr>
            <w:r>
              <w:t>	Tras el primer trimestre de 2014, Banco Sabadell mantiene un elevado nivel de solvencia con unos fondos propios que crecen un 13,0% interanual y suman 10.185,9 millones de euros, una ratio de core capital del 10,4% (según criterios de Basilea III) y una ratio de solvencia BIS del 12,3% (11,4% en marzo de 2013), muy por encima del mínimo exigido del 8%.</w:t>
            </w:r>
          </w:p>
          <w:p>
            <w:pPr>
              <w:ind w:left="-284" w:right="-427"/>
              <w:jc w:val="both"/>
              <w:rPr>
                <w:rFonts/>
                <w:color w:val="262626" w:themeColor="text1" w:themeTint="D9"/>
              </w:rPr>
            </w:pPr>
            <w:r>
              <w:t>	Márgenes y beneficios</w:t>
            </w:r>
          </w:p>
          <w:p>
            <w:pPr>
              <w:ind w:left="-284" w:right="-427"/>
              <w:jc w:val="both"/>
              <w:rPr>
                <w:rFonts/>
                <w:color w:val="262626" w:themeColor="text1" w:themeTint="D9"/>
              </w:rPr>
            </w:pPr>
            <w:r>
              <w:t>	Al cierre del primer trimestre de 2014 se confirman el cambio de tendencia y la mejora del margen de intereses, apuntada ya en los últimos trimestres de 2013. La gestión afinada de los diferenciales de clientes y el menor efecto de la curva de tipos en la renovación de la inversión, unido al menor coste de la financiación y la ampliación del perímetro de consolidación, han permitido incrementar este margen y situarlo en los 530,0 millones de euros, un 17,5% más que tras los tres primeros meses de 2013.</w:t>
            </w:r>
          </w:p>
          <w:p>
            <w:pPr>
              <w:ind w:left="-284" w:right="-427"/>
              <w:jc w:val="both"/>
              <w:rPr>
                <w:rFonts/>
                <w:color w:val="262626" w:themeColor="text1" w:themeTint="D9"/>
              </w:rPr>
            </w:pPr>
            <w:r>
              <w:t>	Los dividendos cobrados y los resultados de las empresas que consolidan por el método de la participación mejoran en 6,3 millones de euros de un año a otro.</w:t>
            </w:r>
          </w:p>
          <w:p>
            <w:pPr>
              <w:ind w:left="-284" w:right="-427"/>
              <w:jc w:val="both"/>
              <w:rPr>
                <w:rFonts/>
                <w:color w:val="262626" w:themeColor="text1" w:themeTint="D9"/>
              </w:rPr>
            </w:pPr>
            <w:r>
              <w:t>	La intensa actividad comercial enfocada a la rentabilidad llevada a cabo se ha traducido en un sustancial incremento de los ingresos netos por comisiones (principalmente por la prestación de servicios, la gestión de fondos de inversión y pensiones y la comercialización de seguros), que ascienden a 201,0 millones de euros y aumentan un 19,3% con respecto al mismo trimestre del año anterior.</w:t>
            </w:r>
          </w:p>
          <w:p>
            <w:pPr>
              <w:ind w:left="-284" w:right="-427"/>
              <w:jc w:val="both"/>
              <w:rPr>
                <w:rFonts/>
                <w:color w:val="262626" w:themeColor="text1" w:themeTint="D9"/>
              </w:rPr>
            </w:pPr>
            <w:r>
              <w:t>	Los resultados por operaciones financieras y diferencias de cambio totalizan 946,7 millones de euros e incluyen 868,9 millones de euros ingresados por la venta de activos financieros disponibles para la venta de renta fija.</w:t>
            </w:r>
          </w:p>
          <w:p>
            <w:pPr>
              <w:ind w:left="-284" w:right="-427"/>
              <w:jc w:val="both"/>
              <w:rPr>
                <w:rFonts/>
                <w:color w:val="262626" w:themeColor="text1" w:themeTint="D9"/>
              </w:rPr>
            </w:pPr>
            <w:r>
              <w:t>	En el primer trimestre de 2014, las dotaciones al fondo de garantía de depósitos totalizan 43,5 millones de euros.</w:t>
            </w:r>
          </w:p>
          <w:p>
            <w:pPr>
              <w:ind w:left="-284" w:right="-427"/>
              <w:jc w:val="both"/>
              <w:rPr>
                <w:rFonts/>
                <w:color w:val="262626" w:themeColor="text1" w:themeTint="D9"/>
              </w:rPr>
            </w:pPr>
            <w:r>
              <w:t>	Con todo ello, el margen bruto trimestral refleja la fortaleza de los ingresos y alcanza los 1.648,0 millones de euros, un 87,3% más que tras el mismo período de 2013.</w:t>
            </w:r>
          </w:p>
          <w:p>
            <w:pPr>
              <w:ind w:left="-284" w:right="-427"/>
              <w:jc w:val="both"/>
              <w:rPr>
                <w:rFonts/>
                <w:color w:val="262626" w:themeColor="text1" w:themeTint="D9"/>
              </w:rPr>
            </w:pPr>
            <w:r>
              <w:t>	A 31 de marzo de 2014, los gastos de explotación ascienden a 450,6 millones de euros y se mantienen estables tras el impacto de la integración de Banco Gallego y Lloyds Bank España. En términos de perímetro constante (incluyendo BMN-Penedès, Lloyds Bank España y Banco Gallego en marzo de 2013), los gastos de explotación recurrentes se reducen un 5,7% interanual.</w:t>
            </w:r>
          </w:p>
          <w:p>
            <w:pPr>
              <w:ind w:left="-284" w:right="-427"/>
              <w:jc w:val="both"/>
              <w:rPr>
                <w:rFonts/>
                <w:color w:val="262626" w:themeColor="text1" w:themeTint="D9"/>
              </w:rPr>
            </w:pPr>
            <w:r>
              <w:t>	El incremento del margen bruto y el rigor aplicado en la gestión de los costes de explotación hacen que la ratio de eficiencia (sin tener en cuenta los resultados no recurrentes de las operaciones financieras) sea del 56,33% y mejore 309 puntos básicos respecto a la ratio ingresos/gastos registrado tras el mismo trimestre de 2013.</w:t>
            </w:r>
          </w:p>
          <w:p>
            <w:pPr>
              <w:ind w:left="-284" w:right="-427"/>
              <w:jc w:val="both"/>
              <w:rPr>
                <w:rFonts/>
                <w:color w:val="262626" w:themeColor="text1" w:themeTint="D9"/>
              </w:rPr>
            </w:pPr>
            <w:r>
              <w:t>	Como resultado de todo lo expuesto, el primer trimestre de 2014 se cierra con un margen antes de dotaciones de 1.129,4 millones de euros, un 167,6% superior al obtenido hace un año.</w:t>
            </w:r>
          </w:p>
          <w:p>
            <w:pPr>
              <w:ind w:left="-284" w:right="-427"/>
              <w:jc w:val="both"/>
              <w:rPr>
                <w:rFonts/>
                <w:color w:val="262626" w:themeColor="text1" w:themeTint="D9"/>
              </w:rPr>
            </w:pPr>
            <w:r>
              <w:t>	Las dotaciones para insolvencias y otros deterioros (de inmuebles y de activos financieros, principalmente) totalizan 1.096,5 millones de euros e incluyen dotaciones extraordinarias de insolvencias, inmuebles y activos financieros por un total de 811,0 millones de euros.</w:t>
            </w:r>
          </w:p>
          <w:p>
            <w:pPr>
              <w:ind w:left="-284" w:right="-427"/>
              <w:jc w:val="both"/>
              <w:rPr>
                <w:rFonts/>
                <w:color w:val="262626" w:themeColor="text1" w:themeTint="D9"/>
              </w:rPr>
            </w:pPr>
            <w:r>
              <w:t>	A 31 de marzo, una vez contabilizadas las plusvalías por la venta de activos corrientes (69,9 millones de euros) y aplicados el impuesto sobre beneficios (18,7 millones de euros) y la parte del resultado correspondiente a minoritarios, el beneficio neto atribuido al grupo es de 81,2 millones de euros y aumenta un 58,8% respecto al obtenido tras los tres primeros meses de 2013.</w:t>
            </w:r>
          </w:p>
          <w:p>
            <w:pPr>
              <w:ind w:left="-284" w:right="-427"/>
              <w:jc w:val="both"/>
              <w:rPr>
                <w:rFonts/>
                <w:color w:val="262626" w:themeColor="text1" w:themeTint="D9"/>
              </w:rPr>
            </w:pPr>
            <w:r>
              <w:t>	Otros hechos destacados en el primer trimestre</w:t>
            </w:r>
          </w:p>
          <w:p>
            <w:pPr>
              <w:ind w:left="-284" w:right="-427"/>
              <w:jc w:val="both"/>
              <w:rPr>
                <w:rFonts/>
                <w:color w:val="262626" w:themeColor="text1" w:themeTint="D9"/>
              </w:rPr>
            </w:pPr>
            <w:r>
              <w:t>	Integración de Lloyds Bank y Banco Gallego</w:t>
            </w:r>
          </w:p>
          <w:p>
            <w:pPr>
              <w:ind w:left="-284" w:right="-427"/>
              <w:jc w:val="both"/>
              <w:rPr>
                <w:rFonts/>
                <w:color w:val="262626" w:themeColor="text1" w:themeTint="D9"/>
              </w:rPr>
            </w:pPr>
            <w:r>
              <w:t>	Durante el primer trimestre de 2014, Banco Sabadell ha culminado con éxito las integraciones de Lloyds Banking Group España y Banco Gallego a su grupo. Con la integración de Lloyds, SabadellSolbank, marca de Banco Sabadell especializada en clientes extranjeros no residentes, incrementa un 26% su volumen de negocio, alcanzando los 7.300 millones de euros, y un 15% el número clientes de este segmento, que ahora supera ya los 400.000. Bajo la marca SabadellSolbank, Banco Sabadell pasa a tener una red comercial de 108 oficinas y aumenta su cuota de mercado en extranjeros no residentes hasta el 21%, consolidando así su liderazgo en este segmento. Por su parte, la integración de Banco Gallego, realizada en tan solo cinco meses, ha permitido a Banco Sabadell aumentar su cuota de oficinas en Galicia hasta el 7% y alcanzar un volumen de negocio de 4.200 millones de euros y los 210.000 clientes.</w:t>
            </w:r>
          </w:p>
          <w:p>
            <w:pPr>
              <w:ind w:left="-284" w:right="-427"/>
              <w:jc w:val="both"/>
              <w:rPr>
                <w:rFonts/>
                <w:color w:val="262626" w:themeColor="text1" w:themeTint="D9"/>
              </w:rPr>
            </w:pPr>
            <w:r>
              <w:t>	Contrato de reaseguro de Mediterráneo Vida</w:t>
            </w:r>
          </w:p>
          <w:p>
            <w:pPr>
              <w:ind w:left="-284" w:right="-427"/>
              <w:jc w:val="both"/>
              <w:rPr>
                <w:rFonts/>
                <w:color w:val="262626" w:themeColor="text1" w:themeTint="D9"/>
              </w:rPr>
            </w:pPr>
            <w:r>
              <w:t>	Mediterráneo Vida, Sociedad Anónima de Seguros y Reaseguros, filial aseguradora de Banco Sabadell, ha suscrito en este primer trimestre de 2014 un contrato de reaseguro sobre su cartera de seguros de vida-riesgo individual a 31 de diciembre de 2013 con la entidad reaseguradora irlandesa SCOR Global Life Reinsurance. La comisión de reaseguro que recibirá Mediterráneo Vida es de 82 millones de euros aproximadamente, lo que supondrá para el grupo Banco Sabadell un resultado extraordinario bruto de similar importe.</w:t>
            </w:r>
          </w:p>
          <w:p>
            <w:pPr>
              <w:ind w:left="-284" w:right="-427"/>
              <w:jc w:val="both"/>
              <w:rPr>
                <w:rFonts/>
                <w:color w:val="262626" w:themeColor="text1" w:themeTint="D9"/>
              </w:rPr>
            </w:pPr>
            <w:r>
              <w:t>	Campaña para impulsar la financiación empresarial</w:t>
            </w:r>
          </w:p>
          <w:p>
            <w:pPr>
              <w:ind w:left="-284" w:right="-427"/>
              <w:jc w:val="both"/>
              <w:rPr>
                <w:rFonts/>
                <w:color w:val="262626" w:themeColor="text1" w:themeTint="D9"/>
              </w:rPr>
            </w:pPr>
            <w:r>
              <w:t>	Desde el pasado mes de febrero, Banco Sabadell responde en un plazo máximo de 7 días laborables a las empresas que le solicitan crédito para nuevos proyectos. Es el primer banco español en adoptar y hacer público un compromiso de respuesta breve con sus clientes. En 2014, Banco Sabadell prevé destinar un 50,2% (15.000 millones de euros) más que en 2013 a nueva financiación a empresas. Actualmente, el 30,5% del tejido productivo del país opera con Banco Sabadell y es asimismo una de las entidades líderes en la concesión de créditos ICO, con una cuota del 18,15%.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https://www.notasdeprensa.es/banco-sabadell-obtiene-un-beneficio-neto-de_1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