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incrementa su beneficio neto un 55,3%, hasta los 352,2 millones de euros, y mejora todos los márgenes tras los primeros seis meses del ejercicio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margen de intereses crece un 20,7% interanual y el margen antes de dotaciones es un 16,1% superior al obtenido tras el mismo período de 2014.</w:t>
            </w:r>
          </w:p>
          <w:p>
            <w:pPr>
              <w:ind w:left="-284" w:right="-427"/>
              <w:jc w:val="both"/>
              <w:rPr>
                <w:rFonts/>
                <w:color w:val="262626" w:themeColor="text1" w:themeTint="D9"/>
              </w:rPr>
            </w:pPr>
            <w:r>
              <w:t>		La adquisición de TSB Banking Group (TSB) impulsa los volúmenes de negocio: inversión crediticia +24,6% y recursos de clientes en balance +37,2%. Por primera vez, los activos totales superan los 200.000 millones de euros al aumentar un 26,2% interanual.</w:t>
            </w:r>
          </w:p>
          <w:p>
            <w:pPr>
              <w:ind w:left="-284" w:right="-427"/>
              <w:jc w:val="both"/>
              <w:rPr>
                <w:rFonts/>
                <w:color w:val="262626" w:themeColor="text1" w:themeTint="D9"/>
              </w:rPr>
            </w:pPr>
            <w:r>
              <w:t>		El saldo total de dudosos se reduce la cifra récord de 1.948 millones de euros desde enero y la ratio de cobertura alcanza el 52,8% (el 53,7% incluyendo TSB). La ratio de mora cae al 10,98% (el 9,01% teniendo en cuenta TSB).</w:t>
            </w:r>
          </w:p>
          <w:p>
            <w:pPr>
              <w:ind w:left="-284" w:right="-427"/>
              <w:jc w:val="both"/>
              <w:rPr>
                <w:rFonts/>
                <w:color w:val="262626" w:themeColor="text1" w:themeTint="D9"/>
              </w:rPr>
            </w:pPr>
            <w:r>
              <w:t>	Cubierto el segundo trimestre del ejercicio, los resultados consolidados de Banco Sabadell mantienen la progresión del primer trimestre y presentan un beneficio neto atribuido de 352,2 millones de euros, un 55,3 por ciento más que a 30 de junio de 2014, una vez efectuadas dotaciones por insolvencias y provisiones de la cartera de valores e inmuebles por un importe total de 1.749,1 millones de euros. La buena marcha del negocio ordinario y el estricto control de los costes de explotación recurrentes, junto a la adecuada gestión de los diferenciales de clientes y el rigor en la calidad del riesgo crediticio, caracterizan un segundo trimestre en el que se confirman la inflexión positiva en la evolución del crédito sin dudosos y la creciente reducción de los activos problemáticos.</w:t>
            </w:r>
          </w:p>
          <w:p>
            <w:pPr>
              <w:ind w:left="-284" w:right="-427"/>
              <w:jc w:val="both"/>
              <w:rPr>
                <w:rFonts/>
                <w:color w:val="262626" w:themeColor="text1" w:themeTint="D9"/>
              </w:rPr>
            </w:pPr>
            <w:r>
              <w:t>	Consulta aquí el Hecho Relevante remitido a la Comisión Nacional del Mercado de Valores. </w:t>
            </w:r>
          </w:p>
          <w:p>
            <w:pPr>
              <w:ind w:left="-284" w:right="-427"/>
              <w:jc w:val="both"/>
              <w:rPr>
                <w:rFonts/>
                <w:color w:val="262626" w:themeColor="text1" w:themeTint="D9"/>
              </w:rPr>
            </w:pPr>
            <w:r>
              <w:t>	A 30 de junio, Banco Sabadell ha obtenido la aprobación por parte de las autoridades británicas para completar la adquisición de TSB Banking Group (TSB), operación anunciada el pasado 20 de marzo, de forma que, una vez cerrada la operación, los datos del balance consolidado de Banco Sabadell tras los primeros seis meses ya incluyen las magnitudes del balance íntegro de TSB a la finalización del segundo trimestre.?</w:t>
            </w:r>
          </w:p>
          <w:p>
            <w:pPr>
              <w:ind w:left="-284" w:right="-427"/>
              <w:jc w:val="both"/>
              <w:rPr>
                <w:rFonts/>
                <w:color w:val="262626" w:themeColor="text1" w:themeTint="D9"/>
              </w:rPr>
            </w:pPr>
            <w:r>
              <w:t>	Balance</w:t>
            </w:r>
          </w:p>
          <w:p>
            <w:pPr>
              <w:ind w:left="-284" w:right="-427"/>
              <w:jc w:val="both"/>
              <w:rPr>
                <w:rFonts/>
                <w:color w:val="262626" w:themeColor="text1" w:themeTint="D9"/>
              </w:rPr>
            </w:pPr>
            <w:r>
              <w:t>	Al cierre del segundo trimestre, los activos totales de Banco Sabadell suman 164.246,9 millones de euros y crecen un 1,7% interanual. Incluyendo TSB, los activos totales consolidados aumentan un 26,2% con respecto al cierre del segundo trimestre de 2014 y superan, por primera vez, los 200.000 millones de euros (203.959,4 millones de euros).</w:t>
            </w:r>
          </w:p>
          <w:p>
            <w:pPr>
              <w:ind w:left="-284" w:right="-427"/>
              <w:jc w:val="both"/>
              <w:rPr>
                <w:rFonts/>
                <w:color w:val="262626" w:themeColor="text1" w:themeTint="D9"/>
              </w:rPr>
            </w:pPr>
            <w:r>
              <w:t>	Inversión</w:t>
            </w:r>
          </w:p>
          <w:p>
            <w:pPr>
              <w:ind w:left="-284" w:right="-427"/>
              <w:jc w:val="both"/>
              <w:rPr>
                <w:rFonts/>
                <w:color w:val="262626" w:themeColor="text1" w:themeTint="D9"/>
              </w:rPr>
            </w:pPr>
            <w:r>
              <w:t>	La inversión crediticia bruta de clientes suma 118.415,9 millones de euros y es un 0,9% interanual menor. Considerando también las magnitudes de TSB, este epígrafe del balance alcanza los 148.962,6 millones de euros, un 24,6% más que a 30 de junio de 2014. En el nuevo perímetro del grupo tras la inclusión de TSB, los préstamos y créditos con garantía hipotecaria, que a 30 de junio de 2015, presentan un saldo de 83.197,7 millones de euros, aumentan un 41,5% interanual y suponen el 56% del total de la inversión crediticia bruta de clientes. Los préstamos con garantía personal aumentan un 21,3% en relación con el cierre del segundo trimestre de 2014.</w:t>
            </w:r>
          </w:p>
          <w:p>
            <w:pPr>
              <w:ind w:left="-284" w:right="-427"/>
              <w:jc w:val="both"/>
              <w:rPr>
                <w:rFonts/>
                <w:color w:val="262626" w:themeColor="text1" w:themeTint="D9"/>
              </w:rPr>
            </w:pPr>
            <w:r>
              <w:t>	En los últimos doce meses, las nuevas operaciones hipotecarias del grupo en España han crecido un 31,2%. El crédito neto a empresas, por su parte, se incrementa asimismo un 6,3% interanual y encadena doce meses de alzas en el ritmo de concesión.</w:t>
            </w:r>
          </w:p>
          <w:p>
            <w:pPr>
              <w:ind w:left="-284" w:right="-427"/>
              <w:jc w:val="both"/>
              <w:rPr>
                <w:rFonts/>
                <w:color w:val="262626" w:themeColor="text1" w:themeTint="D9"/>
              </w:rPr>
            </w:pPr>
            <w:r>
              <w:t>	La ratio de morosidad sobre el total de riesgos computables del grupo ha seguido reduciéndose durante el segundo trimestre, de modo que, al cierre del mismo, se ha situado en el 10,98% (el 9,01% incluyendo TSB), lo que supone una disminución interanual de 287 puntos básicos (176 puntos básicos en los seis meses de 2015).</w:t>
            </w:r>
          </w:p>
          <w:p>
            <w:pPr>
              <w:ind w:left="-284" w:right="-427"/>
              <w:jc w:val="both"/>
              <w:rPr>
                <w:rFonts/>
                <w:color w:val="262626" w:themeColor="text1" w:themeTint="D9"/>
              </w:rPr>
            </w:pPr>
            <w:r>
              <w:t>	Los activos problemáticos se han reducido en 733 millones de euros desde marzo 2015 (2.670 millones de euros en los últimos doce meses) y el saldo total de dudosos ha disminuido la cifra récord de 1.948 millones de euros tras los primeros seis meses del ejercicio.</w:t>
            </w:r>
          </w:p>
          <w:p>
            <w:pPr>
              <w:ind w:left="-284" w:right="-427"/>
              <w:jc w:val="both"/>
              <w:rPr>
                <w:rFonts/>
                <w:color w:val="262626" w:themeColor="text1" w:themeTint="D9"/>
              </w:rPr>
            </w:pPr>
            <w:r>
              <w:t>	Hasta el 30 de junio, la comercialización de inmuebles en balance evoluciona según lo previsto, en línea con los objetivos fijados en el Plan TRIple 2014-2016. En total, se han vendido 5.190 unidades con un descuento sobre el valor bruto del 46,4% (4.968 unidades vendidas y descuento del 52,4% al cierre del segundo trimestre de 2014).?</w:t>
            </w:r>
          </w:p>
          <w:p>
            <w:pPr>
              <w:ind w:left="-284" w:right="-427"/>
              <w:jc w:val="both"/>
              <w:rPr>
                <w:rFonts/>
                <w:color w:val="262626" w:themeColor="text1" w:themeTint="D9"/>
              </w:rPr>
            </w:pPr>
            <w:r>
              <w:t>	Recursos</w:t>
            </w:r>
          </w:p>
          <w:p>
            <w:pPr>
              <w:ind w:left="-284" w:right="-427"/>
              <w:jc w:val="both"/>
              <w:rPr>
                <w:rFonts/>
                <w:color w:val="262626" w:themeColor="text1" w:themeTint="D9"/>
              </w:rPr>
            </w:pPr>
            <w:r>
              <w:t>	Al cierre del segundo trimestre de 2015, los recursos de clientes en balance se mantienen prácticamente sin variación (+0,3%) y suman 95.344,5 millones de euros. Con la inclusión de TSB se elevan a 130.369,6 millones de euros y crecen un 37,2% interanual.</w:t>
            </w:r>
          </w:p>
          <w:p>
            <w:pPr>
              <w:ind w:left="-284" w:right="-427"/>
              <w:jc w:val="both"/>
              <w:rPr>
                <w:rFonts/>
                <w:color w:val="262626" w:themeColor="text1" w:themeTint="D9"/>
              </w:rPr>
            </w:pPr>
            <w:r>
              <w:t>	Destaca particularmente, tras este segundo trimestre del año, la favorable evolución de las cuentas corrientes, que aumentan un 30,8% y totalizan 36.544,6 millones de euros. Teniendo en cuenta los datos de TSB, suman 48.097,6 millones de euros y se incrementan un 72,1% en relación con el 30 de junio de 2014. Asimismo, las cuentas de ahorro experimentan un aumento del 17,6% (13.495,4 millones de euros). Con la incorporación de TSB, el crecimiento es del 184,9% (32.688,4 millones de euros).</w:t>
            </w:r>
          </w:p>
          <w:p>
            <w:pPr>
              <w:ind w:left="-284" w:right="-427"/>
              <w:jc w:val="both"/>
              <w:rPr>
                <w:rFonts/>
                <w:color w:val="262626" w:themeColor="text1" w:themeTint="D9"/>
              </w:rPr>
            </w:pPr>
            <w:r>
              <w:t>	Los depósitos a plazo, por su parte, presentan un saldo de 45.510,3 millones de euros, un 22,7% interanual inferior en línea con la evolución de los mercados. Con la aportación de TSB, suman 49.789,2 millones de euros y la disminución, en términos interanuales, es del 15,5%.</w:t>
            </w:r>
          </w:p>
          <w:p>
            <w:pPr>
              <w:ind w:left="-284" w:right="-427"/>
              <w:jc w:val="both"/>
              <w:rPr>
                <w:rFonts/>
                <w:color w:val="262626" w:themeColor="text1" w:themeTint="D9"/>
              </w:rPr>
            </w:pPr>
            <w:r>
              <w:t>	Los recursos de clientes de fuera de balance suman 35.409,6 millones de euros y, en términos interanuales, aumentan un 23,8%. El patrimonio en sociedades y fondos de inversión colectiva mantiene el crecimiento sostenido, evidenciado a lo largo de los últimos doce meses, alcanzando un saldo de 20.230,2 millones de euros a 30 de junio de 2015, lo que, en términos porcentuales, implica un aumento del 47,6% en los últimos doce meses.</w:t>
            </w:r>
          </w:p>
          <w:p>
            <w:pPr>
              <w:ind w:left="-284" w:right="-427"/>
              <w:jc w:val="both"/>
              <w:rPr>
                <w:rFonts/>
                <w:color w:val="262626" w:themeColor="text1" w:themeTint="D9"/>
              </w:rPr>
            </w:pPr>
            <w:r>
              <w:t>	Al cierre del trimestre, el patrimonio de los fondos de pensiones comercializados es de 4.361,6 millones de euros y se mantiene prácticamente estable en la comparativa interanual. Los seguros comercializados totalizan 7.083,2 millones de euros a 30 de junio de 2015. El total consolidado de recursos gestionados, a 30 de junio de 2015, asciende a 191.598,8 millones de euros, frente a 153.188,0 millones de euros en la misma fecha de 2014, lo que supone un incremento del 25,1% de un año a otro.</w:t>
            </w:r>
          </w:p>
          <w:p>
            <w:pPr>
              <w:ind w:left="-284" w:right="-427"/>
              <w:jc w:val="both"/>
              <w:rPr>
                <w:rFonts/>
                <w:color w:val="262626" w:themeColor="text1" w:themeTint="D9"/>
              </w:rPr>
            </w:pPr>
            <w:r>
              <w:t>	Transcurridos los seis primeros meses del ejercicio, el grupo Banco Sabadell incrementa sus cuotas de negocio, tanto en empresas como en particulares. En empresas, y para el conjunto de España, la cuota en préstamos alcanza el 10,74%, el 31,48% en crédito exportador y el 15,88% en facturación TPV. En particulares, la cuota nacional en FIM se sitúa ahora en el 5,72%, mientras que la de tarjetas de crédito se eleva al 7,89% y la de seguros de vida sube al 4,90%.</w:t>
            </w:r>
          </w:p>
          <w:p>
            <w:pPr>
              <w:ind w:left="-284" w:right="-427"/>
              <w:jc w:val="both"/>
              <w:rPr>
                <w:rFonts/>
                <w:color w:val="262626" w:themeColor="text1" w:themeTint="D9"/>
              </w:rPr>
            </w:pPr>
            <w:r>
              <w:t>	Cuenta de resultados</w:t>
            </w:r>
          </w:p>
          <w:p>
            <w:pPr>
              <w:ind w:left="-284" w:right="-427"/>
              <w:jc w:val="both"/>
              <w:rPr>
                <w:rFonts/>
                <w:color w:val="262626" w:themeColor="text1" w:themeTint="D9"/>
              </w:rPr>
            </w:pPr>
            <w:r>
              <w:t>	Al cierre del segundo trimestre, la cuenta de resultados consolidada, a diferencia del balance consolidado, no refleja aún la incorporación de TSB. A 30 de junio, mantiene la favorable evolución del primer trimestre y muestra el impacto positivo que tienen en la misma el menor coste de la financiación, el incremento de la actividad comercial y el estricto control sobre el gasto. Así, el margen de intereses continúa creciendo trimestralmente y, a 30 de junio, se eleva a 1.299,0 millones de euros, siendo un 20,7% superior al obtenido tras el segundo trimestre del año 2014.</w:t>
            </w:r>
          </w:p>
          <w:p>
            <w:pPr>
              <w:ind w:left="-284" w:right="-427"/>
              <w:jc w:val="both"/>
              <w:rPr>
                <w:rFonts/>
                <w:color w:val="262626" w:themeColor="text1" w:themeTint="D9"/>
              </w:rPr>
            </w:pPr>
            <w:r>
              <w:t>	Los dividendos cobrados y los resultados aportados por las sociedades del grupo que consolidan por el método de la participación ascienden a 27,3 millones de euros (8,5 millones de euros en la misma fecha del año anterior).</w:t>
            </w:r>
          </w:p>
          <w:p>
            <w:pPr>
              <w:ind w:left="-284" w:right="-427"/>
              <w:jc w:val="both"/>
              <w:rPr>
                <w:rFonts/>
                <w:color w:val="262626" w:themeColor="text1" w:themeTint="D9"/>
              </w:rPr>
            </w:pPr>
            <w:r>
              <w:t>	El incremento de los ingresos por la administración y gestión de activos y valores de clientes y la favorable evolución de los ingresos derivados de la venta cruzada de productos y servicios acrecientan las entradas netas por comisiones, que, al cierre del segundo trimestre, ascienden a 454,0 millones de euros y aumentan un 9,5% con respecto al mismo período del año 2014.</w:t>
            </w:r>
          </w:p>
          <w:p>
            <w:pPr>
              <w:ind w:left="-284" w:right="-427"/>
              <w:jc w:val="both"/>
              <w:rPr>
                <w:rFonts/>
                <w:color w:val="262626" w:themeColor="text1" w:themeTint="D9"/>
              </w:rPr>
            </w:pPr>
            <w:r>
              <w:t>	Este incremento se manifiesta de forma generalizada en cada una de las diferentes tipologías de comisiones (operaciones de riesgo, servicios y comercialización de fondos y seguros), si bien, en el detalle de la comparativa interanual, destacan los ingresos derivados de la operativa de tarjetas (+11,8%), de las órdenes de pago formalizadas (+5,4%) y de la gestión de fondos y sociedades de inversión (+38,5%).</w:t>
            </w:r>
          </w:p>
          <w:p>
            <w:pPr>
              <w:ind w:left="-284" w:right="-427"/>
              <w:jc w:val="both"/>
              <w:rPr>
                <w:rFonts/>
                <w:color w:val="262626" w:themeColor="text1" w:themeTint="D9"/>
              </w:rPr>
            </w:pPr>
            <w:r>
              <w:t>	En un entorno de gran volatilidad, los resultados por operaciones financieras ascienden a 1.114,3 millones de euros, mientras que los resultados netos por diferencias de cambio suman, a 30 de junio de 2015, 82,3 millones de euros, un 114,6% más que tras el segundo trimestre de 2014, de forma que el total de ambas partidas es un 2,2% superior al montante resultante tras el segundo trimestre de 2014.</w:t>
            </w:r>
          </w:p>
          <w:p>
            <w:pPr>
              <w:ind w:left="-284" w:right="-427"/>
              <w:jc w:val="both"/>
              <w:rPr>
                <w:rFonts/>
                <w:color w:val="262626" w:themeColor="text1" w:themeTint="D9"/>
              </w:rPr>
            </w:pPr>
            <w:r>
              <w:t>	Con todo ello, el margen bruto consolidado es superior a lo previsto por el consenso de mercado y se incrementa un 10,3%, hasta los 2.960,0 millones de euros. ?</w:t>
            </w:r>
          </w:p>
          <w:p>
            <w:pPr>
              <w:ind w:left="-284" w:right="-427"/>
              <w:jc w:val="both"/>
              <w:rPr>
                <w:rFonts/>
                <w:color w:val="262626" w:themeColor="text1" w:themeTint="D9"/>
              </w:rPr>
            </w:pPr>
            <w:r>
              <w:t>	A 30 de junio de 2015, los costes de explotación totalizan 908,0 millones de euros y se mantienen prácticamente sin variación (+0,5%), en los últimos doce meses.</w:t>
            </w:r>
          </w:p>
          <w:p>
            <w:pPr>
              <w:ind w:left="-284" w:right="-427"/>
              <w:jc w:val="both"/>
              <w:rPr>
                <w:rFonts/>
                <w:color w:val="262626" w:themeColor="text1" w:themeTint="D9"/>
              </w:rPr>
            </w:pPr>
            <w:r>
              <w:t>	La combinación de la favorable evolución de los ingresos recurrentes y el rigor en el control de los costes han permitido seguir ganando eficiencia, de forma que, a 30 de junio de 2015, la ratio correspondiente es del 48,58%, sin incluir los resultados no recurrentes de las operaciones financieras y diferencias de cambio e incorporando la periodificación del Fondo de Garantía de Depósitos. En estos primeros seis meses del ejercicio, la ratio de eficiencia ha mejorado 456 puntos básicos, el 65% de los 699 puntos básicos de mejora que registra la comparativa interanual, y en línea con el objetivo del Plan TRIple de situarla en el 40% a 31 de diciembre de 2016.</w:t>
            </w:r>
          </w:p>
          <w:p>
            <w:pPr>
              <w:ind w:left="-284" w:right="-427"/>
              <w:jc w:val="both"/>
              <w:rPr>
                <w:rFonts/>
                <w:color w:val="262626" w:themeColor="text1" w:themeTint="D9"/>
              </w:rPr>
            </w:pPr>
            <w:r>
              <w:t>	Como resultado de todo lo expuesto, el margen antes de dotaciones, al cierre del segundo trimestre de 2015, se eleva a 1.908,6 millones de euros, un 16,1% más que una vez cubierto el mismo período del año 2014.</w:t>
            </w:r>
          </w:p>
          <w:p>
            <w:pPr>
              <w:ind w:left="-284" w:right="-427"/>
              <w:jc w:val="both"/>
              <w:rPr>
                <w:rFonts/>
                <w:color w:val="262626" w:themeColor="text1" w:themeTint="D9"/>
              </w:rPr>
            </w:pPr>
            <w:r>
              <w:t>	Las dotaciones efectuadas para la cobertura de insolvencias y otros deterioros (de inmuebles y de activos financieros, principalmente) suman 1.749,1 millones de euros (+23,6% interanual), en las que se incluyen dotaciones adicionales que han comportado un incremento de las coberturas. Al cierre del segundo trimestre, la ratio de cobertura sobre dudosos aumenta y alcanza el 52,8% (el 53,7% si se considera TSB) y la de cobertura de los activos inmobiliarios adjudicados se sitúa en el 43,3%.</w:t>
            </w:r>
          </w:p>
          <w:p>
            <w:pPr>
              <w:ind w:left="-284" w:right="-427"/>
              <w:jc w:val="both"/>
              <w:rPr>
                <w:rFonts/>
                <w:color w:val="262626" w:themeColor="text1" w:themeTint="D9"/>
              </w:rPr>
            </w:pPr>
            <w:r>
              <w:t>	Al cierre del segundo trimestre de 2015, la adquisición de TSB ha tenido un impacto positivo en la cuenta de resultados consolidada trimestral como consecuencia de la generación de un fondo de comercio negativo de 207,4 millones de euros (neto de impuestos) por mayor valor efectivo de la inversión efectuada, que se ha destinado íntegramente a mayores provisiones específicas.</w:t>
            </w:r>
          </w:p>
          <w:p>
            <w:pPr>
              <w:ind w:left="-284" w:right="-427"/>
              <w:jc w:val="both"/>
              <w:rPr>
                <w:rFonts/>
                <w:color w:val="262626" w:themeColor="text1" w:themeTint="D9"/>
              </w:rPr>
            </w:pPr>
            <w:r>
              <w:t>	Efectuada la aplicación del impuesto sobre beneficios y distribuida la parte del resultado correspondiente a minoritarios, el beneficio neto atribuido al grupo suma 352,2 millones de euros tras el segundo trimestre de 2015. Este resultado es un 55,3% más elevado que el obtenido tras el mismo período del año 2014 (226,8 millones de euros). Incluyendo la periodificación del Fondo de Garantía de Depósitos en ambos años, el beneficio atribuido al grupo al cierre de junio de 2015 sería de 287,3 millones de euros, frente a 167,7 millones de euros al cierre de junio de 2014, lo que supondría un incremento interanual del 71,3%.?</w:t>
            </w:r>
          </w:p>
          <w:p>
            <w:pPr>
              <w:ind w:left="-284" w:right="-427"/>
              <w:jc w:val="both"/>
              <w:rPr>
                <w:rFonts/>
                <w:color w:val="262626" w:themeColor="text1" w:themeTint="D9"/>
              </w:rPr>
            </w:pPr>
            <w:r>
              <w:t>	A 30 de junio de 2015, y una vez formalizada la adquisición de TSB, Banco Sabadell se mantiene entre las entidades mejor capitalizadas del sector financiero español, con una ratio de capital CET 1 del 11,5% (del 11,2% fully loaded, anticipando los requerimientos de Basilea III). La ratio de solvencia BIS se sitúa en el 13,0% (12,4% al cierre del segundo trimestre de 2014). El patrimonio neto crece un 11,4 % interanual, hasta los 12.076,9 millones de euros.</w:t>
            </w:r>
          </w:p>
          <w:p>
            <w:pPr>
              <w:ind w:left="-284" w:right="-427"/>
              <w:jc w:val="both"/>
              <w:rPr>
                <w:rFonts/>
                <w:color w:val="262626" w:themeColor="text1" w:themeTint="D9"/>
              </w:rPr>
            </w:pPr>
            <w:r>
              <w:t>	Otros hechos destacados del segundo trimestre</w:t>
            </w:r>
          </w:p>
          <w:p>
            <w:pPr>
              <w:ind w:left="-284" w:right="-427"/>
              <w:jc w:val="both"/>
              <w:rPr>
                <w:rFonts/>
                <w:color w:val="262626" w:themeColor="text1" w:themeTint="D9"/>
              </w:rPr>
            </w:pPr>
            <w:r>
              <w:t>	Adquisición TSB Banking Group</w:t>
            </w:r>
          </w:p>
          <w:p>
            <w:pPr>
              <w:ind w:left="-284" w:right="-427"/>
              <w:jc w:val="both"/>
              <w:rPr>
                <w:rFonts/>
                <w:color w:val="262626" w:themeColor="text1" w:themeTint="D9"/>
              </w:rPr>
            </w:pPr>
            <w:r>
              <w:t>	Al cierre del segundo trimestre, Banco Sabadell comunicó que había recibido la aprobación de la Prudential Regulatory Authority para hacer efectiva la oferta de adquisición de TSB Banking Group (TSB), anunciada el pasado 20 de marzo y valorada en 1.700 millones de libras (unos 2.350 millones de euros).</w:t>
            </w:r>
          </w:p>
          <w:p>
            <w:pPr>
              <w:ind w:left="-284" w:right="-427"/>
              <w:jc w:val="both"/>
              <w:rPr>
                <w:rFonts/>
                <w:color w:val="262626" w:themeColor="text1" w:themeTint="D9"/>
              </w:rPr>
            </w:pPr>
            <w:r>
              <w:t>	El banco TSB, perteneciente hasta ahora al grupo Lloyds Bank, es la séptima entidad del ranking bancario británico. Está presente en más de 600 localidades del Reino Unido y cuenta con una plantilla de 8.700 empleados y 4,7 millones de clientes. El próximo día 28 de julio dejará de cotizar en la Bolsa de Valores de Londres.</w:t>
            </w:r>
          </w:p>
          <w:p>
            <w:pPr>
              <w:ind w:left="-284" w:right="-427"/>
              <w:jc w:val="both"/>
              <w:rPr>
                <w:rFonts/>
                <w:color w:val="262626" w:themeColor="text1" w:themeTint="D9"/>
              </w:rPr>
            </w:pPr>
            <w:r>
              <w:t>	Una vez cerrada la operación, Banco Sabadell ha implantado una nueva estructura de gobierno corporativo en TSB y ha establecido una Oficina de Proyecto en Londres. En paralelo, ha puesto en marcha el denominado "Plan de 100 días", iniciándose así los flujos de trabajo conjunto.</w:t>
            </w:r>
          </w:p>
          <w:p>
            <w:pPr>
              <w:ind w:left="-284" w:right="-427"/>
              <w:jc w:val="both"/>
              <w:rPr>
                <w:rFonts/>
                <w:color w:val="262626" w:themeColor="text1" w:themeTint="D9"/>
              </w:rPr>
            </w:pPr>
            <w:r>
              <w:t>	Uno de los aspectos neurálgicos de esta primera fase de la integración de TSB en el grupo Banco Sabadell es el desarrollo de la nueva plataforma tecnológica, cuyo protocolo ya se ha iniciado. Según el calendario previsto, esta nueva infraestructura técnica deberá estar en funcionamiento a finales de 2016, de forma que la integración operativa pueda completarse durante el cuarto trimestre de 2017.</w:t>
            </w:r>
          </w:p>
          <w:p>
            <w:pPr>
              <w:ind w:left="-284" w:right="-427"/>
              <w:jc w:val="both"/>
              <w:rPr>
                <w:rFonts/>
                <w:color w:val="262626" w:themeColor="text1" w:themeTint="D9"/>
              </w:rPr>
            </w:pPr>
            <w:r>
              <w:t>	La contribución de Lloyds Bank, cifrada en 450 millones de libras (aproximadamente 622 millones de euros) y destinada a abordar la integración tecnológica, cubre los costes de migración a la nueva plataforma, cuyo diseño incluirá un variado catálogo de productos y servicios para pyme con el objetivo de que TSB pueda crecer en este segmento en el Reino Unido.?</w:t>
            </w:r>
          </w:p>
          <w:p>
            <w:pPr>
              <w:ind w:left="-284" w:right="-427"/>
              <w:jc w:val="both"/>
              <w:rPr>
                <w:rFonts/>
                <w:color w:val="262626" w:themeColor="text1" w:themeTint="D9"/>
              </w:rPr>
            </w:pPr>
            <w:r>
              <w:t>	Las sinergias tecnológicas esperadas se cifran en unos 160 millones de libras anuales (unos 221 millones de euros), antes de impuestos, a partir de 2018, gracias a la optimización tecnológica.</w:t>
            </w:r>
          </w:p>
          <w:p>
            <w:pPr>
              <w:ind w:left="-284" w:right="-427"/>
              <w:jc w:val="both"/>
              <w:rPr>
                <w:rFonts/>
                <w:color w:val="262626" w:themeColor="text1" w:themeTint="D9"/>
              </w:rPr>
            </w:pPr>
            <w:r>
              <w:t>	Avanza la transformación operativa y digital</w:t>
            </w:r>
          </w:p>
          <w:p>
            <w:pPr>
              <w:ind w:left="-284" w:right="-427"/>
              <w:jc w:val="both"/>
              <w:rPr>
                <w:rFonts/>
                <w:color w:val="262626" w:themeColor="text1" w:themeTint="D9"/>
              </w:rPr>
            </w:pPr>
            <w:r>
              <w:t>	En el ecuador del Plan TRIple 2014-2016, Banco Sabadell avanza en su objetivo de adaptación digital y transformación de su modelo de relación con sus clientes (la T del Plan TRIple junto a la R de rentabilidad y la I de internacionalización), de modo que actualmente el 88% de la operativa básica de clientes se realiza ya vía Internet o dispositivos móviles. Estos canales remotos concentran hoy la actividad de 2 millones de clientes del banco, el 38% del total de clientes activos.</w:t>
            </w:r>
          </w:p>
          <w:p>
            <w:pPr>
              <w:ind w:left="-284" w:right="-427"/>
              <w:jc w:val="both"/>
              <w:rPr>
                <w:rFonts/>
                <w:color w:val="262626" w:themeColor="text1" w:themeTint="D9"/>
              </w:rPr>
            </w:pPr>
            <w:r>
              <w:t>	Según las valoraciones de los usuarios de Apple Store y Google Play, y por cuarto año consecutivo, la aplicación para móvil de Banco Sabadell es la mejor del mercado. Por otra parte, los canales de Internet y móvil multiplican quienes los utilizan día a día, de forma que, en la comparativa interanual, los usuarios aumentan un 25% (+900.000 clientes digitales nuevos) y las descargas, un 15% (+1,6 millones en los últimos doce meses), con más de 6 millones de accesos mensuales.</w:t>
            </w:r>
          </w:p>
          <w:p>
            <w:pPr>
              <w:ind w:left="-284" w:right="-427"/>
              <w:jc w:val="both"/>
              <w:rPr>
                <w:rFonts/>
                <w:color w:val="262626" w:themeColor="text1" w:themeTint="D9"/>
              </w:rPr>
            </w:pPr>
            <w:r>
              <w:t>	Asimismo, se ha avanzado en la Gestión Activa de clientes, con la que se pretende, a finales de 2016, gestionar remotamente (acompañamiento extendido y atención al cliente 24 x7) un número significativo de clientes, y en el "Alta rápida Pack Cuenta Expansión", que permitirá agilizar la captación de nuevos clientes mediante la simplificación operativa y contractual.</w:t>
            </w:r>
          </w:p>
          <w:p>
            <w:pPr>
              <w:ind w:left="-284" w:right="-427"/>
              <w:jc w:val="both"/>
              <w:rPr>
                <w:rFonts/>
                <w:color w:val="262626" w:themeColor="text1" w:themeTint="D9"/>
              </w:rPr>
            </w:pPr>
            <w:r>
              <w:t>	Ampliación del Comité de Dirección</w:t>
            </w:r>
          </w:p>
          <w:p>
            <w:pPr>
              <w:ind w:left="-284" w:right="-427"/>
              <w:jc w:val="both"/>
              <w:rPr>
                <w:rFonts/>
                <w:color w:val="262626" w:themeColor="text1" w:themeTint="D9"/>
              </w:rPr>
            </w:pPr>
            <w:r>
              <w:t>	Durante el segundo trimestre, en el marco del desarrollo del Plan TRIple 2014-2016 y en el escenario de internacionalización que impulsan los proyectos de América y el Reino Unido, Banco Sabadell ha ampliado la composición de su Comité de Dirección con la incorporación de Ramón de la Riva, director general adjunto, que lidera la Dirección de Mercados y Banca Privada, y Enric Rovira, subdirector general, ahora al frente de la Dirección de Transformación de Activos y participadas industriales e inmobiliarias.</w:t>
            </w:r>
          </w:p>
          <w:p>
            <w:pPr>
              <w:ind w:left="-284" w:right="-427"/>
              <w:jc w:val="both"/>
              <w:rPr>
                <w:rFonts/>
                <w:color w:val="262626" w:themeColor="text1" w:themeTint="D9"/>
              </w:rPr>
            </w:pPr>
            <w:r>
              <w:t>	En paralelo, también se han adaptado las estructuras corporativas de la Dirección Financiera y de la Dirección de Operaciones y Desarrollo Corporativo y se han ampliado las funciones y la estructura directiva en América, cuya dirección, encabezada por Fernando Pérez-Hickman, pasa a denominarse América  and  Global Corporate Banking, al incorporar la gestión de todas las oficinas de representación en el extranjero y los negocios de Banca Corporativa y Financiación Estructurada del grupo.?</w:t>
            </w:r>
          </w:p>
          <w:p>
            <w:pPr>
              <w:ind w:left="-284" w:right="-427"/>
              <w:jc w:val="both"/>
              <w:rPr>
                <w:rFonts/>
                <w:color w:val="262626" w:themeColor="text1" w:themeTint="D9"/>
              </w:rPr>
            </w:pPr>
            <w:r>
              <w:t>	Finalmente, la Dirección de Tecnología del grupo se refuerza igualmente con la incorporación de Rüdiger Schmidt, procedente de Deutsche Bank, que lidera ahora las funciones globales de tecnología y sistemas, certificación y transformación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https://www.notasdeprensa.es/banco-sabadell-incrementa-su-beneficio-neto-un_1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