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04/02/2014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Banco Sabadell incentiva los traspasos de gestoras externas a sus fondos de inversión con una bonificación del +1,50%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Banco Sabadell ha iniciado una campaña de captación de fondos de inversión procedentes de otras entidades, para lo que se ofrece un incentivo al cliente del +1,50% sobre el importe traspasado.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beneficiarse de la promoción, se ha establecido un importe mínimo de 6.000 euros, pero sin límite máximo a percibir por actuales o nuevos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acción comercial finalizará el próximo 30 de junio de 2014 y hasta la fecha, todos aquellos traspasos realizados a los fondos de inversión BS que se incluyen en la campaña y al servicio de gestión discrecional de carteras de fondos de inversión BS Fondos Gran Selección, podrán beneficiarse de esta bonificación.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Sabadell Inversión es la única sociedad gestora de fondos de derecho español con grading cualitativo otorgado por Standard  and  Poor’s Capital IQ Fund Research.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abono del incentivo se efectuará en la cuenta de efectivo asociada al contrato de fondos en dos fases: el 50% el 30 de enero de 2015 y el otro 50% el 29 de enero de 2016. El importe de la bonificación tiene consideración de rendimiento del capital mobiliario y en el momento del pago se realizará una retención del 21% (según la legislación fiscal vigente).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información sobre la promoción: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https://www.bancsabadell.com/cs/Satellite/SabAtl/Oferta_de_Fondos/1191332204275/es/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Banco Sabadell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https://www.notasdeprensa.es/banco-sabadell-incentiva-los-traspasos-de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