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un 2,3% los asuntos ingresados en el primer trimestre de 2014 en los órganos judiciales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tuvieron entrada durante el primer trimestre de 2014 un total de 2.221.690 asuntos en el conjunto de los órganos judiciales, lo que supone un incremento del 2,3 por ciento respecto al primer trimestre del año anterior, según el informe estadístico Situación de los órganos judiciales en el primer trimestre de 2014, hecho público hoy.</w:t>
            </w:r>
          </w:p>
          <w:p>
            <w:pPr>
              <w:ind w:left="-284" w:right="-427"/>
              <w:jc w:val="both"/>
              <w:rPr>
                <w:rFonts/>
                <w:color w:val="262626" w:themeColor="text1" w:themeTint="D9"/>
              </w:rPr>
            </w:pPr>
            <w:r>
              <w:t>En el mismo periodo, los tribunales españoles resolvieron 2.297.476 asuntos y han quedado en trámite al final del trimestre un total de 2.604.798 asuntos.</w:t>
            </w:r>
          </w:p>
          <w:p>
            <w:pPr>
              <w:ind w:left="-284" w:right="-427"/>
              <w:jc w:val="both"/>
              <w:rPr>
                <w:rFonts/>
                <w:color w:val="262626" w:themeColor="text1" w:themeTint="D9"/>
              </w:rPr>
            </w:pPr>
            <w:r>
              <w:t>En la jurisdicción Civil, el número de asuntos ingresados en el primer trimestre de  2014 alcanzó los 481.096, con un importante incremento del 17,5 por ciento, aunque hay que tener en cuenta que el valor observado en el primer trimestre de 2013, respecto al que se compara, estuvo significativamente afectado a la baja por el efecto de la implantación de las tasas. En esta jurisdicción se resolvieron 493.955 asuntos y están en trámite 1.016.381.</w:t>
            </w:r>
          </w:p>
          <w:p>
            <w:pPr>
              <w:ind w:left="-284" w:right="-427"/>
              <w:jc w:val="both"/>
              <w:rPr>
                <w:rFonts/>
                <w:color w:val="262626" w:themeColor="text1" w:themeTint="D9"/>
              </w:rPr>
            </w:pPr>
            <w:r>
              <w:t>En la jurisdicción Penal han entrado 1.568.206 asuntos, con una disminución del 1,7 por ciento, habiéndose resuelto  1.624.144 asuntos y quedando en trámite 988.133 asuntos.</w:t>
            </w:r>
          </w:p>
          <w:p>
            <w:pPr>
              <w:ind w:left="-284" w:right="-427"/>
              <w:jc w:val="both"/>
              <w:rPr>
                <w:rFonts/>
                <w:color w:val="262626" w:themeColor="text1" w:themeTint="D9"/>
              </w:rPr>
            </w:pPr>
            <w:r>
              <w:t>En la jurisdicción Contencioso-Administrativa se han registrado 51.613 nuevos asuntos, con un incremento del 8,5 por ciento. Se resolvieron 65.056 asuntos y están en trámite 242.812 asuntos.</w:t>
            </w:r>
          </w:p>
          <w:p>
            <w:pPr>
              <w:ind w:left="-284" w:right="-427"/>
              <w:jc w:val="both"/>
              <w:rPr>
                <w:rFonts/>
                <w:color w:val="262626" w:themeColor="text1" w:themeTint="D9"/>
              </w:rPr>
            </w:pPr>
            <w:r>
              <w:t>La jurisdicción Social  ha tenido un incremento del 0,1 por ciento en los asuntos ingresados con  120.691 nuevos asuntos. Se han resuelto 114.249 asuntos y han quedado tramitándose 357.462 asuntos.</w:t>
            </w:r>
          </w:p>
          <w:p>
            <w:pPr>
              <w:ind w:left="-284" w:right="-427"/>
              <w:jc w:val="both"/>
              <w:rPr>
                <w:rFonts/>
                <w:color w:val="262626" w:themeColor="text1" w:themeTint="D9"/>
              </w:rPr>
            </w:pPr>
            <w:r>
              <w:t>Se ha observado en este trimestre que el número de asuntos que quedaban en trámite en los órganos judiciales ha sido en la jurisdicción civil el menor desde el tercer trimestre de 2008, en la jurisdicción penal, el menor desde el segundo trimestre de 2007, y en la contencioso administrativa, la más baja desde 1995.</w:t>
            </w:r>
          </w:p>
          <w:p>
            <w:pPr>
              <w:ind w:left="-284" w:right="-427"/>
              <w:jc w:val="both"/>
              <w:rPr>
                <w:rFonts/>
                <w:color w:val="262626" w:themeColor="text1" w:themeTint="D9"/>
              </w:rPr>
            </w:pPr>
            <w:r>
              <w:t>Estas disminuciones se han debido, por una parte al mejor comportamiento de la resolución respecto al ingreso, y por otra a los esfuerzos de los órganos judiciales en la depuración y control de los asuntos en trámite, impulsados por las inspecciones virtuales realizadas por el Servicio de Inspección del Consejo General del Poder Judicial.</w:t>
            </w:r>
          </w:p>
          <w:p>
            <w:pPr>
              <w:ind w:left="-284" w:right="-427"/>
              <w:jc w:val="both"/>
              <w:rPr>
                <w:rFonts/>
                <w:color w:val="262626" w:themeColor="text1" w:themeTint="D9"/>
              </w:rPr>
            </w:pPr>
            <w:r>
              <w:t>Andalucía, Madrid, y Baleares, a la cabeza en litigiosidad</w:t>
            </w:r>
          </w:p>
          <w:p>
            <w:pPr>
              <w:ind w:left="-284" w:right="-427"/>
              <w:jc w:val="both"/>
              <w:rPr>
                <w:rFonts/>
                <w:color w:val="262626" w:themeColor="text1" w:themeTint="D9"/>
              </w:rPr>
            </w:pPr>
            <w:r>
              <w:t>La tasa de litigiosidad en el conjunto del Estado ha sido de  47,5 asuntos por cada 1.000 habitantes.</w:t>
            </w:r>
          </w:p>
          <w:p>
            <w:pPr>
              <w:ind w:left="-284" w:right="-427"/>
              <w:jc w:val="both"/>
              <w:rPr>
                <w:rFonts/>
                <w:color w:val="262626" w:themeColor="text1" w:themeTint="D9"/>
              </w:rPr>
            </w:pPr>
            <w:r>
              <w:t>Las comunidades que han mostrado una tasa de litigiosidad superior a la nacional han sido Andalucía (56,3), Madrid (53,1), Canarias (51,7), Murcia (49.9), Cantabria (48,8) y C. Valenciana (48,4). Las comunidades con tasa de litigiosidad más baja fueron La Rioja (31,9), País Vasco (33,7) y Aragón (37,8) (*).</w:t>
            </w:r>
          </w:p>
          <w:p>
            <w:pPr>
              <w:ind w:left="-284" w:right="-427"/>
              <w:jc w:val="both"/>
              <w:rPr>
                <w:rFonts/>
                <w:color w:val="262626" w:themeColor="text1" w:themeTint="D9"/>
              </w:rPr>
            </w:pPr>
            <w:r>
              <w:t> (*) Cálculos realizados sobre las cifras de población del INE, provisionales a 1 de enero de 2014.</w:t>
            </w:r>
          </w:p>
          <w:p>
            <w:pPr>
              <w:ind w:left="-284" w:right="-427"/>
              <w:jc w:val="both"/>
              <w:rPr>
                <w:rFonts/>
                <w:color w:val="262626" w:themeColor="text1" w:themeTint="D9"/>
              </w:rPr>
            </w:pPr>
            <w:r>
              <w:t>Proyección al conjunto del año 2014</w:t>
            </w:r>
          </w:p>
          <w:p>
            <w:pPr>
              <w:ind w:left="-284" w:right="-427"/>
              <w:jc w:val="both"/>
              <w:rPr>
                <w:rFonts/>
                <w:color w:val="262626" w:themeColor="text1" w:themeTint="D9"/>
              </w:rPr>
            </w:pPr>
            <w:r>
              <w:t>Como en años anteriores, en base a las series históricas trimestrales disponibles, llegando en este caso al primer trimestre de 2014, el CGPJ ha realizado una previsión para el conjunto del año 2014.</w:t>
            </w:r>
          </w:p>
          <w:p>
            <w:pPr>
              <w:ind w:left="-284" w:right="-427"/>
              <w:jc w:val="both"/>
              <w:rPr>
                <w:rFonts/>
                <w:color w:val="262626" w:themeColor="text1" w:themeTint="D9"/>
              </w:rPr>
            </w:pPr>
            <w:r>
              <w:t>Movimiento de asuntos</w:t>
            </w:r>
          </w:p>
          <w:p>
            <w:pPr>
              <w:ind w:left="-284" w:right="-427"/>
              <w:jc w:val="both"/>
              <w:rPr>
                <w:rFonts/>
                <w:color w:val="262626" w:themeColor="text1" w:themeTint="D9"/>
              </w:rPr>
            </w:pPr>
            <w:r>
              <w:t>Sentencias</w:t>
            </w:r>
          </w:p>
          <w:p>
            <w:pPr>
              <w:ind w:left="-284" w:right="-427"/>
              <w:jc w:val="both"/>
              <w:rPr>
                <w:rFonts/>
                <w:color w:val="262626" w:themeColor="text1" w:themeTint="D9"/>
              </w:rPr>
            </w:pPr>
            <w:r>
              <w:t>Ingresados </w:t>
            </w:r>
          </w:p>
          <w:p>
            <w:pPr>
              <w:ind w:left="-284" w:right="-427"/>
              <w:jc w:val="both"/>
              <w:rPr>
                <w:rFonts/>
                <w:color w:val="262626" w:themeColor="text1" w:themeTint="D9"/>
              </w:rPr>
            </w:pPr>
            <w:r>
              <w:t>Resueltos</w:t>
            </w:r>
          </w:p>
          <w:p>
            <w:pPr>
              <w:ind w:left="-284" w:right="-427"/>
              <w:jc w:val="both"/>
              <w:rPr>
                <w:rFonts/>
                <w:color w:val="262626" w:themeColor="text1" w:themeTint="D9"/>
              </w:rPr>
            </w:pPr>
            <w:r>
              <w:t>En trámite al final del año</w:t>
            </w:r>
          </w:p>
              Civil 
          <w:p>
            <w:pPr>
              <w:ind w:left="-284" w:right="-427"/>
              <w:jc w:val="both"/>
              <w:rPr>
                <w:rFonts/>
                <w:color w:val="262626" w:themeColor="text1" w:themeTint="D9"/>
              </w:rPr>
            </w:pPr>
            <w:r>
              <w:t>1.757.700</w:t>
            </w:r>
          </w:p>
          <w:p>
            <w:pPr>
              <w:ind w:left="-284" w:right="-427"/>
              <w:jc w:val="both"/>
              <w:rPr>
                <w:rFonts/>
                <w:color w:val="262626" w:themeColor="text1" w:themeTint="D9"/>
              </w:rPr>
            </w:pPr>
            <w:r>
              <w:t>1.764.100</w:t>
            </w:r>
          </w:p>
          <w:p>
            <w:pPr>
              <w:ind w:left="-284" w:right="-427"/>
              <w:jc w:val="both"/>
              <w:rPr>
                <w:rFonts/>
                <w:color w:val="262626" w:themeColor="text1" w:themeTint="D9"/>
              </w:rPr>
            </w:pPr>
            <w:r>
              <w:t>1.022.600</w:t>
            </w:r>
          </w:p>
          <w:p>
            <w:pPr>
              <w:ind w:left="-284" w:right="-427"/>
              <w:jc w:val="both"/>
              <w:rPr>
                <w:rFonts/>
                <w:color w:val="262626" w:themeColor="text1" w:themeTint="D9"/>
              </w:rPr>
            </w:pPr>
            <w:r>
              <w:t>464.400</w:t>
            </w:r>
          </w:p>
              Penal 
          <w:p>
            <w:pPr>
              <w:ind w:left="-284" w:right="-427"/>
              <w:jc w:val="both"/>
              <w:rPr>
                <w:rFonts/>
                <w:color w:val="262626" w:themeColor="text1" w:themeTint="D9"/>
              </w:rPr>
            </w:pPr>
            <w:r>
              <w:t>6.163.200</w:t>
            </w:r>
          </w:p>
          <w:p>
            <w:pPr>
              <w:ind w:left="-284" w:right="-427"/>
              <w:jc w:val="both"/>
              <w:rPr>
                <w:rFonts/>
                <w:color w:val="262626" w:themeColor="text1" w:themeTint="D9"/>
              </w:rPr>
            </w:pPr>
            <w:r>
              <w:t>6.280.800</w:t>
            </w:r>
          </w:p>
          <w:p>
            <w:pPr>
              <w:ind w:left="-284" w:right="-427"/>
              <w:jc w:val="both"/>
              <w:rPr>
                <w:rFonts/>
                <w:color w:val="262626" w:themeColor="text1" w:themeTint="D9"/>
              </w:rPr>
            </w:pPr>
            <w:r>
              <w:t>917.900</w:t>
            </w:r>
          </w:p>
          <w:p>
            <w:pPr>
              <w:ind w:left="-284" w:right="-427"/>
              <w:jc w:val="both"/>
              <w:rPr>
                <w:rFonts/>
                <w:color w:val="262626" w:themeColor="text1" w:themeTint="D9"/>
              </w:rPr>
            </w:pPr>
            <w:r>
              <w:t>707.500</w:t>
            </w:r>
          </w:p>
              Contencioso Administrativa 
          <w:p>
            <w:pPr>
              <w:ind w:left="-284" w:right="-427"/>
              <w:jc w:val="both"/>
              <w:rPr>
                <w:rFonts/>
                <w:color w:val="262626" w:themeColor="text1" w:themeTint="D9"/>
              </w:rPr>
            </w:pPr>
            <w:r>
              <w:t>178.000</w:t>
            </w:r>
          </w:p>
          <w:p>
            <w:pPr>
              <w:ind w:left="-284" w:right="-427"/>
              <w:jc w:val="both"/>
              <w:rPr>
                <w:rFonts/>
                <w:color w:val="262626" w:themeColor="text1" w:themeTint="D9"/>
              </w:rPr>
            </w:pPr>
            <w:r>
              <w:t>240.200</w:t>
            </w:r>
          </w:p>
          <w:p>
            <w:pPr>
              <w:ind w:left="-284" w:right="-427"/>
              <w:jc w:val="both"/>
              <w:rPr>
                <w:rFonts/>
                <w:color w:val="262626" w:themeColor="text1" w:themeTint="D9"/>
              </w:rPr>
            </w:pPr>
            <w:r>
              <w:t>193.700</w:t>
            </w:r>
          </w:p>
          <w:p>
            <w:pPr>
              <w:ind w:left="-284" w:right="-427"/>
              <w:jc w:val="both"/>
              <w:rPr>
                <w:rFonts/>
                <w:color w:val="262626" w:themeColor="text1" w:themeTint="D9"/>
              </w:rPr>
            </w:pPr>
            <w:r>
              <w:t>151.000</w:t>
            </w:r>
          </w:p>
              Social 
          <w:p>
            <w:pPr>
              <w:ind w:left="-284" w:right="-427"/>
              <w:jc w:val="both"/>
              <w:rPr>
                <w:rFonts/>
                <w:color w:val="262626" w:themeColor="text1" w:themeTint="D9"/>
              </w:rPr>
            </w:pPr>
            <w:r>
              <w:t>470.200</w:t>
            </w:r>
          </w:p>
          <w:p>
            <w:pPr>
              <w:ind w:left="-284" w:right="-427"/>
              <w:jc w:val="both"/>
              <w:rPr>
                <w:rFonts/>
                <w:color w:val="262626" w:themeColor="text1" w:themeTint="D9"/>
              </w:rPr>
            </w:pPr>
            <w:r>
              <w:t>420.400</w:t>
            </w:r>
          </w:p>
          <w:p>
            <w:pPr>
              <w:ind w:left="-284" w:right="-427"/>
              <w:jc w:val="both"/>
              <w:rPr>
                <w:rFonts/>
                <w:color w:val="262626" w:themeColor="text1" w:themeTint="D9"/>
              </w:rPr>
            </w:pPr>
            <w:r>
              <w:t>410.200</w:t>
            </w:r>
          </w:p>
          <w:p>
            <w:pPr>
              <w:ind w:left="-284" w:right="-427"/>
              <w:jc w:val="both"/>
              <w:rPr>
                <w:rFonts/>
                <w:color w:val="262626" w:themeColor="text1" w:themeTint="D9"/>
              </w:rPr>
            </w:pPr>
            <w:r>
              <w:t>215.400</w:t>
            </w:r>
          </w:p>
              Militar 
          <w:p>
            <w:pPr>
              <w:ind w:left="-284" w:right="-427"/>
              <w:jc w:val="both"/>
              <w:rPr>
                <w:rFonts/>
                <w:color w:val="262626" w:themeColor="text1" w:themeTint="D9"/>
              </w:rPr>
            </w:pPr>
            <w:r>
              <w:t>280</w:t>
            </w:r>
          </w:p>
          <w:p>
            <w:pPr>
              <w:ind w:left="-284" w:right="-427"/>
              <w:jc w:val="both"/>
              <w:rPr>
                <w:rFonts/>
                <w:color w:val="262626" w:themeColor="text1" w:themeTint="D9"/>
              </w:rPr>
            </w:pPr>
            <w:r>
              <w:t>240</w:t>
            </w:r>
          </w:p>
          <w:p>
            <w:pPr>
              <w:ind w:left="-284" w:right="-427"/>
              <w:jc w:val="both"/>
              <w:rPr>
                <w:rFonts/>
                <w:color w:val="262626" w:themeColor="text1" w:themeTint="D9"/>
              </w:rPr>
            </w:pPr>
            <w:r>
              <w:t>130</w:t>
            </w:r>
          </w:p>
          <w:p>
            <w:pPr>
              <w:ind w:left="-284" w:right="-427"/>
              <w:jc w:val="both"/>
              <w:rPr>
                <w:rFonts/>
                <w:color w:val="262626" w:themeColor="text1" w:themeTint="D9"/>
              </w:rPr>
            </w:pPr>
            <w:r>
              <w:t>150</w:t>
            </w:r>
          </w:p>
              Total 
          <w:p>
            <w:pPr>
              <w:ind w:left="-284" w:right="-427"/>
              <w:jc w:val="both"/>
              <w:rPr>
                <w:rFonts/>
                <w:color w:val="262626" w:themeColor="text1" w:themeTint="D9"/>
              </w:rPr>
            </w:pPr>
            <w:r>
              <w:t>8.569.400</w:t>
            </w:r>
          </w:p>
          <w:p>
            <w:pPr>
              <w:ind w:left="-284" w:right="-427"/>
              <w:jc w:val="both"/>
              <w:rPr>
                <w:rFonts/>
                <w:color w:val="262626" w:themeColor="text1" w:themeTint="D9"/>
              </w:rPr>
            </w:pPr>
            <w:r>
              <w:t>8.705.800</w:t>
            </w:r>
          </w:p>
          <w:p>
            <w:pPr>
              <w:ind w:left="-284" w:right="-427"/>
              <w:jc w:val="both"/>
              <w:rPr>
                <w:rFonts/>
                <w:color w:val="262626" w:themeColor="text1" w:themeTint="D9"/>
              </w:rPr>
            </w:pPr>
            <w:r>
              <w:t>2.544.500</w:t>
            </w:r>
          </w:p>
          <w:p>
            <w:pPr>
              <w:ind w:left="-284" w:right="-427"/>
              <w:jc w:val="both"/>
              <w:rPr>
                <w:rFonts/>
                <w:color w:val="262626" w:themeColor="text1" w:themeTint="D9"/>
              </w:rPr>
            </w:pPr>
            <w:r>
              <w:t>1.538.500</w:t>
            </w:r>
          </w:p>
          <w:p>
            <w:pPr>
              <w:ind w:left="-284" w:right="-427"/>
              <w:jc w:val="both"/>
              <w:rPr>
                <w:rFonts/>
                <w:color w:val="262626" w:themeColor="text1" w:themeTint="D9"/>
              </w:rPr>
            </w:pPr>
            <w:r>
              <w:t>Movimiento de asuntos</w:t>
            </w:r>
          </w:p>
          <w:p>
            <w:pPr>
              <w:ind w:left="-284" w:right="-427"/>
              <w:jc w:val="both"/>
              <w:rPr>
                <w:rFonts/>
                <w:color w:val="262626" w:themeColor="text1" w:themeTint="D9"/>
              </w:rPr>
            </w:pPr>
            <w:r>
              <w:t>Sentencias </w:t>
            </w:r>
          </w:p>
          <w:p>
            <w:pPr>
              <w:ind w:left="-284" w:right="-427"/>
              <w:jc w:val="both"/>
              <w:rPr>
                <w:rFonts/>
                <w:color w:val="262626" w:themeColor="text1" w:themeTint="D9"/>
              </w:rPr>
            </w:pPr>
            <w:r>
              <w:t>Ingresados </w:t>
            </w:r>
          </w:p>
          <w:p>
            <w:pPr>
              <w:ind w:left="-284" w:right="-427"/>
              <w:jc w:val="both"/>
              <w:rPr>
                <w:rFonts/>
                <w:color w:val="262626" w:themeColor="text1" w:themeTint="D9"/>
              </w:rPr>
            </w:pPr>
            <w:r>
              <w:t>Resueltos</w:t>
            </w:r>
          </w:p>
          <w:p>
            <w:pPr>
              <w:ind w:left="-284" w:right="-427"/>
              <w:jc w:val="both"/>
              <w:rPr>
                <w:rFonts/>
                <w:color w:val="262626" w:themeColor="text1" w:themeTint="D9"/>
              </w:rPr>
            </w:pPr>
            <w:r>
              <w:t>En trámite al final del año</w:t>
            </w:r>
          </w:p>
              Civil 
          <w:p>
            <w:pPr>
              <w:ind w:left="-284" w:right="-427"/>
              <w:jc w:val="both"/>
              <w:rPr>
                <w:rFonts/>
                <w:color w:val="262626" w:themeColor="text1" w:themeTint="D9"/>
              </w:rPr>
            </w:pPr>
            <w:r>
              <w:t>5,2%</w:t>
            </w:r>
          </w:p>
          <w:p>
            <w:pPr>
              <w:ind w:left="-284" w:right="-427"/>
              <w:jc w:val="both"/>
              <w:rPr>
                <w:rFonts/>
                <w:color w:val="262626" w:themeColor="text1" w:themeTint="D9"/>
              </w:rPr>
            </w:pPr>
            <w:r>
              <w:t>-2,8%</w:t>
            </w:r>
          </w:p>
          <w:p>
            <w:pPr>
              <w:ind w:left="-284" w:right="-427"/>
              <w:jc w:val="both"/>
              <w:rPr>
                <w:rFonts/>
                <w:color w:val="262626" w:themeColor="text1" w:themeTint="D9"/>
              </w:rPr>
            </w:pPr>
            <w:r>
              <w:t>-0,6%</w:t>
            </w:r>
          </w:p>
          <w:p>
            <w:pPr>
              <w:ind w:left="-284" w:right="-427"/>
              <w:jc w:val="both"/>
              <w:rPr>
                <w:rFonts/>
                <w:color w:val="262626" w:themeColor="text1" w:themeTint="D9"/>
              </w:rPr>
            </w:pPr>
            <w:r>
              <w:t>-2,8%</w:t>
            </w:r>
          </w:p>
              Penal 
          <w:p>
            <w:pPr>
              <w:ind w:left="-284" w:right="-427"/>
              <w:jc w:val="both"/>
              <w:rPr>
                <w:rFonts/>
                <w:color w:val="262626" w:themeColor="text1" w:themeTint="D9"/>
              </w:rPr>
            </w:pPr>
            <w:r>
              <w:t>-2,2%</w:t>
            </w:r>
          </w:p>
          <w:p>
            <w:pPr>
              <w:ind w:left="-284" w:right="-427"/>
              <w:jc w:val="both"/>
              <w:rPr>
                <w:rFonts/>
                <w:color w:val="262626" w:themeColor="text1" w:themeTint="D9"/>
              </w:rPr>
            </w:pPr>
            <w:r>
              <w:t>-1,7%</w:t>
            </w:r>
          </w:p>
          <w:p>
            <w:pPr>
              <w:ind w:left="-284" w:right="-427"/>
              <w:jc w:val="both"/>
              <w:rPr>
                <w:rFonts/>
                <w:color w:val="262626" w:themeColor="text1" w:themeTint="D9"/>
              </w:rPr>
            </w:pPr>
            <w:r>
              <w:t>-11,4%</w:t>
            </w:r>
          </w:p>
          <w:p>
            <w:pPr>
              <w:ind w:left="-284" w:right="-427"/>
              <w:jc w:val="both"/>
              <w:rPr>
                <w:rFonts/>
                <w:color w:val="262626" w:themeColor="text1" w:themeTint="D9"/>
              </w:rPr>
            </w:pPr>
            <w:r>
              <w:t>-1,0%</w:t>
            </w:r>
          </w:p>
              Contencioso Administrativa 
          <w:p>
            <w:pPr>
              <w:ind w:left="-284" w:right="-427"/>
              <w:jc w:val="both"/>
              <w:rPr>
                <w:rFonts/>
                <w:color w:val="262626" w:themeColor="text1" w:themeTint="D9"/>
              </w:rPr>
            </w:pPr>
            <w:r>
              <w:t>-6,8%</w:t>
            </w:r>
          </w:p>
          <w:p>
            <w:pPr>
              <w:ind w:left="-284" w:right="-427"/>
              <w:jc w:val="both"/>
              <w:rPr>
                <w:rFonts/>
                <w:color w:val="262626" w:themeColor="text1" w:themeTint="D9"/>
              </w:rPr>
            </w:pPr>
            <w:r>
              <w:t>-7,7%</w:t>
            </w:r>
          </w:p>
          <w:p>
            <w:pPr>
              <w:ind w:left="-284" w:right="-427"/>
              <w:jc w:val="both"/>
              <w:rPr>
                <w:rFonts/>
                <w:color w:val="262626" w:themeColor="text1" w:themeTint="D9"/>
              </w:rPr>
            </w:pPr>
            <w:r>
              <w:t>-24,3%</w:t>
            </w:r>
          </w:p>
          <w:p>
            <w:pPr>
              <w:ind w:left="-284" w:right="-427"/>
              <w:jc w:val="both"/>
              <w:rPr>
                <w:rFonts/>
                <w:color w:val="262626" w:themeColor="text1" w:themeTint="D9"/>
              </w:rPr>
            </w:pPr>
            <w:r>
              <w:t>-6,5%</w:t>
            </w:r>
          </w:p>
              Social 
          <w:p>
            <w:pPr>
              <w:ind w:left="-284" w:right="-427"/>
              <w:jc w:val="both"/>
              <w:rPr>
                <w:rFonts/>
                <w:color w:val="262626" w:themeColor="text1" w:themeTint="D9"/>
              </w:rPr>
            </w:pPr>
            <w:r>
              <w:t>0,2%</w:t>
            </w:r>
          </w:p>
          <w:p>
            <w:pPr>
              <w:ind w:left="-284" w:right="-427"/>
              <w:jc w:val="both"/>
              <w:rPr>
                <w:rFonts/>
                <w:color w:val="262626" w:themeColor="text1" w:themeTint="D9"/>
              </w:rPr>
            </w:pPr>
            <w:r>
              <w:t>3,0%</w:t>
            </w:r>
          </w:p>
          <w:p>
            <w:pPr>
              <w:ind w:left="-284" w:right="-427"/>
              <w:jc w:val="both"/>
              <w:rPr>
                <w:rFonts/>
                <w:color w:val="262626" w:themeColor="text1" w:themeTint="D9"/>
              </w:rPr>
            </w:pPr>
            <w:r>
              <w:t>13,8%</w:t>
            </w:r>
          </w:p>
          <w:p>
            <w:pPr>
              <w:ind w:left="-284" w:right="-427"/>
              <w:jc w:val="both"/>
              <w:rPr>
                <w:rFonts/>
                <w:color w:val="262626" w:themeColor="text1" w:themeTint="D9"/>
              </w:rPr>
            </w:pPr>
            <w:r>
              <w:t>-0,8%</w:t>
            </w:r>
          </w:p>
              Militar 
          <w:p>
            <w:pPr>
              <w:ind w:left="-284" w:right="-427"/>
              <w:jc w:val="both"/>
              <w:rPr>
                <w:rFonts/>
                <w:color w:val="262626" w:themeColor="text1" w:themeTint="D9"/>
              </w:rPr>
            </w:pPr>
            <w:r>
              <w:t>3,3%</w:t>
            </w:r>
          </w:p>
          <w:p>
            <w:pPr>
              <w:ind w:left="-284" w:right="-427"/>
              <w:jc w:val="both"/>
              <w:rPr>
                <w:rFonts/>
                <w:color w:val="262626" w:themeColor="text1" w:themeTint="D9"/>
              </w:rPr>
            </w:pPr>
            <w:r>
              <w:t>-3,2%</w:t>
            </w:r>
          </w:p>
          <w:p>
            <w:pPr>
              <w:ind w:left="-284" w:right="-427"/>
              <w:jc w:val="both"/>
              <w:rPr>
                <w:rFonts/>
                <w:color w:val="262626" w:themeColor="text1" w:themeTint="D9"/>
              </w:rPr>
            </w:pPr>
            <w:r>
              <w:t>43,3%</w:t>
            </w:r>
          </w:p>
          <w:p>
            <w:pPr>
              <w:ind w:left="-284" w:right="-427"/>
              <w:jc w:val="both"/>
              <w:rPr>
                <w:rFonts/>
                <w:color w:val="262626" w:themeColor="text1" w:themeTint="D9"/>
              </w:rPr>
            </w:pPr>
            <w:r>
              <w:t>-7,4%</w:t>
            </w:r>
          </w:p>
              Total 
          <w:p>
            <w:pPr>
              <w:ind w:left="-284" w:right="-427"/>
              <w:jc w:val="both"/>
              <w:rPr>
                <w:rFonts/>
                <w:color w:val="262626" w:themeColor="text1" w:themeTint="D9"/>
              </w:rPr>
            </w:pPr>
            <w:r>
              <w:t>-0,8%</w:t>
            </w:r>
          </w:p>
          <w:p>
            <w:pPr>
              <w:ind w:left="-284" w:right="-427"/>
              <w:jc w:val="both"/>
              <w:rPr>
                <w:rFonts/>
                <w:color w:val="262626" w:themeColor="text1" w:themeTint="D9"/>
              </w:rPr>
            </w:pPr>
            <w:r>
              <w:t>-1,9%</w:t>
            </w:r>
          </w:p>
          <w:p>
            <w:pPr>
              <w:ind w:left="-284" w:right="-427"/>
              <w:jc w:val="both"/>
              <w:rPr>
                <w:rFonts/>
                <w:color w:val="262626" w:themeColor="text1" w:themeTint="D9"/>
              </w:rPr>
            </w:pPr>
            <w:r>
              <w:t>-5,1%</w:t>
            </w:r>
          </w:p>
          <w:p>
            <w:pPr>
              <w:ind w:left="-284" w:right="-427"/>
              <w:jc w:val="both"/>
              <w:rPr>
                <w:rFonts/>
                <w:color w:val="262626" w:themeColor="text1" w:themeTint="D9"/>
              </w:rPr>
            </w:pPr>
            <w:r>
              <w:t>-2,1%</w:t>
            </w:r>
          </w:p>
          <w:p>
            <w:pPr>
              <w:ind w:left="-284" w:right="-427"/>
              <w:jc w:val="both"/>
              <w:rPr>
                <w:rFonts/>
                <w:color w:val="262626" w:themeColor="text1" w:themeTint="D9"/>
              </w:rPr>
            </w:pPr>
            <w:r>
              <w:t> (*) En la Comisión de Justicia de 13 de mayo 2014 se requirió al Consejo General del Poder Judicial realizar una estadística judicial más acorde con la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https://www.notasdeprensa.es/aumentan-un-23-los-asuntos-ingresados-en-el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