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significativamente la inscripción de tractores y máquinas automotrices en 2013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tractores se ha constatado una subida del 2,74 por ciento, frente a la caída del 13,47 por ciento en 2012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incrementa también la inscripción de máquinas automotrices (4,10%) y de remolques (16,49%), que habían sufrido importantes descensos en 2012</w:t>
            </w:r>
          </w:p>
          <w:p>
            <w:pPr>
              <w:ind w:left="-284" w:right="-427"/>
              <w:jc w:val="both"/>
              <w:rPr>
                <w:rFonts/>
                <w:color w:val="262626" w:themeColor="text1" w:themeTint="D9"/>
              </w:rPr>
            </w:pPr>
            <w:r>
              <w:t>	Se mantiene la caída de maquinaria arrastrada y otras máquinas que no son de inscripción obligatoria en los Registros Oficiales</w:t>
            </w:r>
          </w:p>
          <w:p>
            <w:pPr>
              <w:ind w:left="-284" w:right="-427"/>
              <w:jc w:val="both"/>
              <w:rPr>
                <w:rFonts/>
                <w:color w:val="262626" w:themeColor="text1" w:themeTint="D9"/>
              </w:rPr>
            </w:pPr>
            <w:r>
              <w:t>	El Ministerio de Agricultura, Alimentación y Medio Ambiente ha recopilado los datos recogidos en los Registros Oficiales de Maquinaria Agrícola (ROMA) de todas las Comunidades Autónomas, de los que se desprende que durante el pasado año aumentó considerablemente  la inscripción de la maquinaria nueva más representativa del sector agrario.</w:t>
            </w:r>
          </w:p>
          <w:p>
            <w:pPr>
              <w:ind w:left="-284" w:right="-427"/>
              <w:jc w:val="both"/>
              <w:rPr>
                <w:rFonts/>
                <w:color w:val="262626" w:themeColor="text1" w:themeTint="D9"/>
              </w:rPr>
            </w:pPr>
            <w:r>
              <w:t>	Así se constata en el caso de los tractores, cuyas inscripciones aumentaron en 2013 en un 2,74 por ciento, frente a la caída del 13,47 por ciento de 2012. También se observa la misma tendencia al alza en las máquinas automotrices, que han aumentado en un 4,10 por ciento el pasado año, tras la caída del 15 por ciento registrada en 2012; y en los remolques, cuyo registro aumentó en 2013 en un 16,49 por ciento, tras el descenso del 16,29  del año anterior. </w:t>
            </w:r>
          </w:p>
          <w:p>
            <w:pPr>
              <w:ind w:left="-284" w:right="-427"/>
              <w:jc w:val="both"/>
              <w:rPr>
                <w:rFonts/>
                <w:color w:val="262626" w:themeColor="text1" w:themeTint="D9"/>
              </w:rPr>
            </w:pPr>
            <w:r>
              <w:t>	Se mantiene la caída en maquinaria arrastrada o suspendida en un 8,27 por ciento, continuando así con el descenso del 6,14 por ciento de 2012, y de otras máquinas (ordeñadoras, tanques de frío, equipos de riego….), que han bajado en un 65,79 por ciento, algo menos que en 2012, cuando el descenso fue del 67,49 por ciento.</w:t>
            </w:r>
          </w:p>
          <w:p>
            <w:pPr>
              <w:ind w:left="-284" w:right="-427"/>
              <w:jc w:val="both"/>
              <w:rPr>
                <w:rFonts/>
                <w:color w:val="262626" w:themeColor="text1" w:themeTint="D9"/>
              </w:rPr>
            </w:pPr>
            <w:r>
              <w:t>	Estos tipos de máquinas no son de inscripción obligatoria en los Registros Oficiales, salvo que hayan contado con una ayuda oficial para su adquisición, o en el caso de los equipos de tratamientos fitosanitarios y abonadoras.</w:t>
            </w:r>
          </w:p>
          <w:p>
            <w:pPr>
              <w:ind w:left="-284" w:right="-427"/>
              <w:jc w:val="both"/>
              <w:rPr>
                <w:rFonts/>
                <w:color w:val="262626" w:themeColor="text1" w:themeTint="D9"/>
              </w:rPr>
            </w:pPr>
            <w:r>
              <w:t>	El porcentaje de la maquinaria arrastrada o suspendida inscrita, en relación con la realmente vendida, oscila enormemente según el tipo de máquina, pues mientras que en el caso de determinadas empacadoras este porcentaje llega al 100%, en las máquinas para trabajo de suelo no llega al 15%. Por todo ello, el total de máquinas inscritas durante el año ha caído un 1,2 por ciento, un porcentaje significativamente inferior al de 2012, cuando el descenso se situó en el 10 por ciento. </w:t>
            </w:r>
          </w:p>
          <w:p>
            <w:pPr>
              <w:ind w:left="-284" w:right="-427"/>
              <w:jc w:val="both"/>
              <w:rPr>
                <w:rFonts/>
                <w:color w:val="262626" w:themeColor="text1" w:themeTint="D9"/>
              </w:rPr>
            </w:pPr>
            <w:r>
              <w:t>	El avance del informe 2013 sobre la inscripción de maquinaria Agrícola en los Registros Oficiales (ROMA), podrá consultarse desde hoy lunes en el apartado de ganadería, sección de estadísticas de www.magrama.es.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https://www.notasdeprensa.es/aumenta-significativamente-la-inscripcion-de_1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