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Atomiun crecerá un 60% durante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promotora comienza 2024 con fuerte crecimiento de las ventas en la promoción de 60 unidades que gestiona en Sanlúcar de Barrameda, Cádiz. Prevé también un gran incremento de las ventas de las viviendas que gestionan y comercializan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Cristina Santos, CEO de Atomiun: "Nuestros números operativos de 2024 reafirmarán la resiliencia de la demanda de Atomiun y el buen posicionamiento del producto de la compañía, lo que permitirá a la organización encaminarse hacia el cumplimiento de sus objetivos".</w:t>
            </w:r>
          </w:p>
          <w:p>
            <w:pPr>
              <w:ind w:left="-284" w:right="-427"/>
              <w:jc w:val="both"/>
              <w:rPr>
                <w:rFonts/>
                <w:color w:val="262626" w:themeColor="text1" w:themeTint="D9"/>
              </w:rPr>
            </w:pPr>
            <w:r>
              <w:t>Atomiun, promotora residencial con actividad en Madrid y Andalucía, gestiona actualmente 80 viviendas de obra nueva y transforma locales comerciales obsoletos a viviendas. Se están comercializando en venta a clientes particulares (BTS) poniendo de manifiesto en el actual contexto actual la resiliencia del segmento medio de la demanda a la que se dirige la compañía. Se prevé que el número de ventas en 2024 se incremente como mínimo en un 60%.</w:t>
            </w:r>
          </w:p>
          <w:p>
            <w:pPr>
              <w:ind w:left="-284" w:right="-427"/>
              <w:jc w:val="both"/>
              <w:rPr>
                <w:rFonts/>
                <w:color w:val="262626" w:themeColor="text1" w:themeTint="D9"/>
              </w:rPr>
            </w:pPr>
            <w:r>
              <w:t>Cabe destacar especialmente la promoción Terrazas de Lubricán compuesta por más de 60 viviendas, trasteros y plazas de garaje, sita en Sanlúcar de Barrameda que, bajo la gestión de Atomiun, ha concluido con éxito su primera fase. Actualmente, las obras de la segunda fase están en marcha y tanto las obras como las ventas avanzan a muy buen ritmo. Este proyecto no solo representa una transformación física de un terreno junto al mar y el casco urbano, sino también un impulso económico social para la comunidad local.</w:t>
            </w:r>
          </w:p>
          <w:p>
            <w:pPr>
              <w:ind w:left="-284" w:right="-427"/>
              <w:jc w:val="both"/>
              <w:rPr>
                <w:rFonts/>
                <w:color w:val="262626" w:themeColor="text1" w:themeTint="D9"/>
              </w:rPr>
            </w:pPr>
            <w:r>
              <w:t>Respecto a la transformación de locales comerciales obsoletos en viviendas, Cristina Santos destaca que "nuestro trabajo más intenso será colaborar con la revitalización del tejido urbano deMadrid durante el año 2024, con una ambiciosa meta de transformar y comercializar alrededor de 30 unidades". Nuestra empresa está marcando el rumbo hacia el desarrollo sostenible y la optimización de espacios urbanos." Subraya, además, el compromiso continuo de Atomiun, con la innovación, la sostenibilidad y la creación de hogares en las zonas de Tetuán, Guindalera y Fuencarral".</w:t>
            </w:r>
          </w:p>
          <w:p>
            <w:pPr>
              <w:ind w:left="-284" w:right="-427"/>
              <w:jc w:val="both"/>
              <w:rPr>
                <w:rFonts/>
                <w:color w:val="262626" w:themeColor="text1" w:themeTint="D9"/>
              </w:rPr>
            </w:pPr>
            <w:r>
              <w:t>Atomiun           Atomiun RSS       Chestertons Atomiun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OAHP FACTORY SL</w:t>
      </w:r>
    </w:p>
    <w:p w:rsidR="00AB63FE" w:rsidRDefault="00C31F72" w:rsidP="00AB63FE">
      <w:pPr>
        <w:pStyle w:val="Sinespaciado"/>
        <w:spacing w:line="276" w:lineRule="auto"/>
        <w:ind w:left="-284"/>
        <w:rPr>
          <w:rFonts w:ascii="Arial" w:hAnsi="Arial" w:cs="Arial"/>
        </w:rPr>
      </w:pPr>
      <w:r>
        <w:rPr>
          <w:rFonts w:ascii="Arial" w:hAnsi="Arial" w:cs="Arial"/>
        </w:rPr>
        <w:t>910052034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https://www.notasdeprensa.es/atomiun-crecera-un-60-durante-2024_1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Madrid Andalucia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