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Aprisco Energy Industries se une a Maximance 2030 LTD y BlueGrace Energy Bolivia para Iniciativas REDD+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mejorar las herramientas utilizadas para reducir las emisiones derivadas de la deforestación y la degradación forestal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APRISCO ENERGY INDUSTRIES S.L., una empresa con sede en España dedicada a una transición energética justa y sostenible, se ha unido a BLUEGRACE ENERGY BOLIVIA SRL y MAXIMANCE 2030 LTD. Esta iniciativa innovadora está preparada para contribuir significativamente a los objetivos de desarrollo sostenible establecidos para 2030.</w:t>
            </w:r>
          </w:p>
          <w:p>
            <w:pPr>
              <w:ind w:left="-284" w:right="-427"/>
              <w:jc w:val="both"/>
              <w:rPr>
                <w:rFonts/>
                <w:color w:val="262626" w:themeColor="text1" w:themeTint="D9"/>
              </w:rPr>
            </w:pPr>
            <w:r>
              <w:t>Con la finalidad de mejorar las herramientas utilizadas para reducir las emisiones derivadas de la deforestación y la degradación forestal, Julio José Montenegro, CEO de BlueGrace Energy Bolivia (BGEB), ha anunciado una colaboración significativa. Esta asociación, que involucra a APRISCO ENERGY INDUSTRIES S.L., MAXIMANCE 2030 LTD y BGEB, se centra en la emisión de créditos voluntarios de carbono, cruciales para la captura de CO2 y la lucha contra los efectos del cambio climático.</w:t>
            </w:r>
          </w:p>
          <w:p>
            <w:pPr>
              <w:ind w:left="-284" w:right="-427"/>
              <w:jc w:val="both"/>
              <w:rPr>
                <w:rFonts/>
                <w:color w:val="262626" w:themeColor="text1" w:themeTint="D9"/>
              </w:rPr>
            </w:pPr>
            <w:r>
              <w:t>En diciembre de 2023, BlueGrace Energy Bolivia, en asociación con MAXIMANCE 2030 LTD, obtuvo la aprobación para el ISIN UK.BG.MAX 785.985257. Esta autorización facilita el apoyo al Proyecto de Conservación del Bosque Emblemático a través de acciones, con una duración de 10 años.</w:t>
            </w:r>
          </w:p>
          <w:p>
            <w:pPr>
              <w:ind w:left="-284" w:right="-427"/>
              <w:jc w:val="both"/>
              <w:rPr>
                <w:rFonts/>
                <w:color w:val="262626" w:themeColor="text1" w:themeTint="D9"/>
              </w:rPr>
            </w:pPr>
            <w:r>
              <w:t>Este esfuerzo cooperativo está en línea con varios compromisos ambientales globales. Incluyen el Acuerdo de Escazú, el Acuerdo de París y el acuerdo de la Comisión Económica para América Latina y el Caribe (CEPAL) sobre cambio climático y transición justa, confirmado en la COP28 en Dubái a finales de 2023. El acuerdo subraya la importancia de las prácticas forestales sostenibles y apoya a los países que las implementan a través de incentivos financieros internacionales.</w:t>
            </w:r>
          </w:p>
          <w:p>
            <w:pPr>
              <w:ind w:left="-284" w:right="-427"/>
              <w:jc w:val="both"/>
              <w:rPr>
                <w:rFonts/>
                <w:color w:val="262626" w:themeColor="text1" w:themeTint="D9"/>
              </w:rPr>
            </w:pPr>
            <w:r>
              <w:t>APRISCO ENERGY INDUSTRIES S.L., en colaboración con socios estratégicos clave como Catalana de Biogás Ibérica (apoyada por Sinia Renovables del Grupo Banco Sabadell), Catalana de Renovables junto al Grupo Soriguè, y el "GRUPO TESLA" de la República Checa, está embarcándose en una serie de iniciativas para mejorar el desarrollo de la energía renovable. Estas iniciativas incluyen:</w:t>
            </w:r>
          </w:p>
          <w:p>
            <w:pPr>
              <w:ind w:left="-284" w:right="-427"/>
              <w:jc w:val="both"/>
              <w:rPr>
                <w:rFonts/>
                <w:color w:val="262626" w:themeColor="text1" w:themeTint="D9"/>
              </w:rPr>
            </w:pPr>
            <w:r>
              <w:t>Priorizar inversiones en generación de electricidad a partir de una variedad de fuentes renovables, adaptadas al potencial y oportunidades específicos de cada país.</w:t>
            </w:r>
          </w:p>
          <w:p>
            <w:pPr>
              <w:ind w:left="-284" w:right="-427"/>
              <w:jc w:val="both"/>
              <w:rPr>
                <w:rFonts/>
                <w:color w:val="262626" w:themeColor="text1" w:themeTint="D9"/>
              </w:rPr>
            </w:pPr>
            <w:r>
              <w:t>Estimular el crecimiento del sector de la energía renovable y el sector productivo en general. Esto incluye promover el uso de hidrógeno sostenible para la descarbonización en el transporte y la industria, mejorar la competitividad y apoyar las actividades de exportación.</w:t>
            </w:r>
          </w:p>
          <w:p>
            <w:pPr>
              <w:ind w:left="-284" w:right="-427"/>
              <w:jc w:val="both"/>
              <w:rPr>
                <w:rFonts/>
                <w:color w:val="262626" w:themeColor="text1" w:themeTint="D9"/>
              </w:rPr>
            </w:pPr>
            <w:r>
              <w:t>Mejorar la eficiencia energética en varios sectores.</w:t>
            </w:r>
          </w:p>
          <w:p>
            <w:pPr>
              <w:ind w:left="-284" w:right="-427"/>
              <w:jc w:val="both"/>
              <w:rPr>
                <w:rFonts/>
                <w:color w:val="262626" w:themeColor="text1" w:themeTint="D9"/>
              </w:rPr>
            </w:pPr>
            <w:r>
              <w:t>Avanzar en el desarrollo e implementación de soluciones de almacenamiento de energía.</w:t>
            </w:r>
          </w:p>
          <w:p>
            <w:pPr>
              <w:ind w:left="-284" w:right="-427"/>
              <w:jc w:val="both"/>
              <w:rPr>
                <w:rFonts/>
                <w:color w:val="262626" w:themeColor="text1" w:themeTint="D9"/>
              </w:rPr>
            </w:pPr>
            <w:r>
              <w:t>Organizar campañas y debates para concienciar sobre las implicaciones sociales, ambientales y económicas de diferentes escenarios de transición energética.</w:t>
            </w:r>
          </w:p>
          <w:p>
            <w:pPr>
              <w:ind w:left="-284" w:right="-427"/>
              <w:jc w:val="both"/>
              <w:rPr>
                <w:rFonts/>
                <w:color w:val="262626" w:themeColor="text1" w:themeTint="D9"/>
              </w:rPr>
            </w:pPr>
            <w:r>
              <w:t>Fomentar el reconocimiento y el tratamiento comercial apropiado de los créditos de biodiversidad, destacando su importancia en la preservación del medio ambiente.</w:t>
            </w:r>
          </w:p>
          <w:p>
            <w:pPr>
              <w:ind w:left="-284" w:right="-427"/>
              <w:jc w:val="both"/>
              <w:rPr>
                <w:rFonts/>
                <w:color w:val="262626" w:themeColor="text1" w:themeTint="D9"/>
              </w:rPr>
            </w:pPr>
            <w:r>
              <w:t>Proporcionar asistencia financiera para la restauración y recuperación de ecosistemas y biomas naturales. Esto reconoce el papel vital de áreas forestales protegidas, como "Gran Chaco - Bolivia", en la captura de CO2 y la mitigación del cambio climático.</w:t>
            </w:r>
          </w:p>
          <w:p>
            <w:pPr>
              <w:ind w:left="-284" w:right="-427"/>
              <w:jc w:val="both"/>
              <w:rPr>
                <w:rFonts/>
                <w:color w:val="262626" w:themeColor="text1" w:themeTint="D9"/>
              </w:rPr>
            </w:pPr>
            <w:r>
              <w:t>Reconocer la significativa contribución del capital forestal protegido de BLUEGRACE ENERGY BOLIVIA SRL en "Gran Chaco - Bolivia". Esta área es un bioma clave en el continente, desempeñando un papel crucial en la secuestración de CO2 y ayudando a contrarrestar los efectos del cambio climático.</w:t>
            </w:r>
          </w:p>
          <w:p>
            <w:pPr>
              <w:ind w:left="-284" w:right="-427"/>
              <w:jc w:val="both"/>
              <w:rPr>
                <w:rFonts/>
                <w:color w:val="262626" w:themeColor="text1" w:themeTint="D9"/>
              </w:rPr>
            </w:pPr>
            <w:r>
              <w:t>El acuerdo de cooperación tiene como objetivo abordar el cambio climático centrándose en la energía verde y la transición energética, alineándose con las herramientas REDD+ para combatir la deforestación y mejorar la conservación de los bosques y las reservas de carbono. Esta estrategia, que refleja el compromiso de Bluegrace Energy Bolivia (BGEB), apoya los Objetivos de Desarrollo Sostenible de la ONU y la Agenda 2030.</w:t>
            </w:r>
          </w:p>
          <w:p>
            <w:pPr>
              <w:ind w:left="-284" w:right="-427"/>
              <w:jc w:val="both"/>
              <w:rPr>
                <w:rFonts/>
                <w:color w:val="262626" w:themeColor="text1" w:themeTint="D9"/>
              </w:rPr>
            </w:pPr>
            <w:r>
              <w:t>BlueGrace Energy Bolivia (BGEB) ejemplifica la responsabilidad corporativa en sostenibilidad ambiental, alineándose con más del 90% de los Objetivos de Desarrollo Sostenible de la ONU. Esto marca un paso significativo en la expansión del mercado global de BGEB y la inversión en proyectos impactantes.</w:t>
            </w:r>
          </w:p>
          <w:p>
            <w:pPr>
              <w:ind w:left="-284" w:right="-427"/>
              <w:jc w:val="both"/>
              <w:rPr>
                <w:rFonts/>
                <w:color w:val="262626" w:themeColor="text1" w:themeTint="D9"/>
              </w:rPr>
            </w:pPr>
            <w:r>
              <w:t>El Sr. Montenegro indicó que la dedicación de BGEB a la sostenibilidad es evidente en su compromiso de conservar 20.5 millones de acres de la Selva Amazónica y alinearse con el Pacto Global de la ONU. Utilizando tecnología avanzada para la cuantificación de créditos de carbono, esta iniciativa contribuye significativamente a los objetivos climáticos globales.</w:t>
            </w:r>
          </w:p>
          <w:p>
            <w:pPr>
              <w:ind w:left="-284" w:right="-427"/>
              <w:jc w:val="both"/>
              <w:rPr>
                <w:rFonts/>
                <w:color w:val="262626" w:themeColor="text1" w:themeTint="D9"/>
              </w:rPr>
            </w:pPr>
            <w:r>
              <w:t>Se espera que el mercado global de créditos de carbono alcance los 100 mil millones de dólares para 2030, destacando la importancia del proyecto de BGEB. Esta iniciativa, crucial para limitar el calentamiento global, representa una sinergia de inversión financiera y acción ambiental, posicionando a BGEB como líder en innovación sostenible.</w:t>
            </w:r>
          </w:p>
          <w:p>
            <w:pPr>
              <w:ind w:left="-284" w:right="-427"/>
              <w:jc w:val="both"/>
              <w:rPr>
                <w:rFonts/>
                <w:color w:val="262626" w:themeColor="text1" w:themeTint="D9"/>
              </w:rPr>
            </w:pPr>
            <w:r>
              <w:t>Las asociaciones de BGEB se extienden más allá de los objetivos ambientales, formando alianzas estratégicas con entidades influyentes como la Asociación del Mercado de Capitales (ICMA), la Comisión Económica para América Latina y el Caribe (CEPAL) y el Pacto Global de las Naciones Unidas. Estas colaboraciones se centran en empoderar a comunidades indígenas y empobrecidas a través de iniciativas sociales integrales y sostenibilidad, guiadas hacia principios universalmente aceptados en derechos humanos, trabajo, medio ambiente y anticorrupción. Mejorando el acceso a la educación, la atención médica y la infraestructura, BGEB está comprometido con el desarrollo comunitario junto con sus esfuerzos ambientales. Este enfoque integrado, que combina la conservación ambiental con la transición a la energía limpia y el empoderamiento de la comunidad, establece a BGEB como un líder tanto en la preservación ecológica como en la innovación de energía limpia dentro de Bolivia, subrayando la importancia continua de la asociación mientras se esfuerza hacia un futuro sostenible y carbono neutral, sirviendo como un ejemplo convincente de lo que se puede lograr con la acción colectiva y la innovación.</w:t>
            </w:r>
          </w:p>
          <w:p>
            <w:pPr>
              <w:ind w:left="-284" w:right="-427"/>
              <w:jc w:val="both"/>
              <w:rPr>
                <w:rFonts/>
                <w:color w:val="262626" w:themeColor="text1" w:themeTint="D9"/>
              </w:rPr>
            </w:pPr>
            <w:r>
              <w:t>"El viaje de BGEB nos inspira a todos a tomar medidas, ya que juntos, podemos abordar el cambio climático y proteger nuestro planeta para las generaciones futuras".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JULIO JOSE MONTENEGRO</w:t>
      </w:r>
    </w:p>
    <w:p w:rsidR="00C31F72" w:rsidRDefault="00C31F72" w:rsidP="00AB63FE">
      <w:pPr>
        <w:pStyle w:val="Sinespaciado"/>
        <w:spacing w:line="276" w:lineRule="auto"/>
        <w:ind w:left="-284"/>
        <w:rPr>
          <w:rFonts w:ascii="Arial" w:hAnsi="Arial" w:cs="Arial"/>
        </w:rPr>
      </w:pPr>
      <w:r>
        <w:rPr>
          <w:rFonts w:ascii="Arial" w:hAnsi="Arial" w:cs="Arial"/>
        </w:rPr>
        <w:t>BlueGrace Energy Bolivia</w:t>
      </w:r>
    </w:p>
    <w:p w:rsidR="00AB63FE" w:rsidRDefault="00C31F72" w:rsidP="00AB63FE">
      <w:pPr>
        <w:pStyle w:val="Sinespaciado"/>
        <w:spacing w:line="276" w:lineRule="auto"/>
        <w:ind w:left="-284"/>
        <w:rPr>
          <w:rFonts w:ascii="Arial" w:hAnsi="Arial" w:cs="Arial"/>
        </w:rPr>
      </w:pPr>
      <w:r>
        <w:rPr>
          <w:rFonts w:ascii="Arial" w:hAnsi="Arial" w:cs="Arial"/>
        </w:rPr>
        <w:t>+1 305 972 6173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https://www.notasdeprensa.es/aprisco-energy-industries-se-une-a-maximance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Sostenibilidad Industria Minera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