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establece distintos niveles de inversión para favorecer la entrada de nuevos franquiciados a la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en pleno proceso de expansión, cuenta con una red superior a las 100 franquicias operativas en España, Portugal, Emiratos Árabes, México y Caribe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establecido un nuevo plan de negocio para dar respuesta a los diferentes perfiles de inversor interesados en entrar en la red de franquicias.</w:t>
            </w:r>
          </w:p>
          <w:p>
            <w:pPr>
              <w:ind w:left="-284" w:right="-427"/>
              <w:jc w:val="both"/>
              <w:rPr>
                <w:rFonts/>
                <w:color w:val="262626" w:themeColor="text1" w:themeTint="D9"/>
              </w:rPr>
            </w:pPr>
            <w:r>
              <w:t>Con el objetivo de ofrecer a los interesados las máximas facilidades de acceso a la empresa, Ambiseint ha diseñado los siguientes niveles de inversión:</w:t>
            </w:r>
          </w:p>
          <w:p>
            <w:pPr>
              <w:ind w:left="-284" w:right="-427"/>
              <w:jc w:val="both"/>
              <w:rPr>
                <w:rFonts/>
                <w:color w:val="262626" w:themeColor="text1" w:themeTint="D9"/>
              </w:rPr>
            </w:pPr>
            <w:r>
              <w:t>Opción Charter: es la más básica de todas y está pensada para perímetros comerciales de potencial medio y parte de una inversión inicial en mercancía de 24.900 euros + impuestos y ofrece un beneficio mensual de 4.800€ en fórmula de autoempleo.</w:t>
            </w:r>
          </w:p>
          <w:p>
            <w:pPr>
              <w:ind w:left="-284" w:right="-427"/>
              <w:jc w:val="both"/>
              <w:rPr>
                <w:rFonts/>
                <w:color w:val="262626" w:themeColor="text1" w:themeTint="D9"/>
              </w:rPr>
            </w:pPr>
            <w:r>
              <w:t>Opción Jet: en este caso el territorio en el que se trabaja es más amplio y de mayor potencial y la inversión es de 35.900 euros + impuestos y ofrece un beneficio mensual de 8.000€ en fórmula de autoempleo.</w:t>
            </w:r>
          </w:p>
          <w:p>
            <w:pPr>
              <w:ind w:left="-284" w:right="-427"/>
              <w:jc w:val="both"/>
              <w:rPr>
                <w:rFonts/>
                <w:color w:val="262626" w:themeColor="text1" w:themeTint="D9"/>
              </w:rPr>
            </w:pPr>
            <w:r>
              <w:t>Opción Business: es el prototipo diseñado para un perfil principalmente inversor, interesado en operar en zonas de primer nivel tales como capitales de provincia o emplazamientos con un alto volumen empresarial. Es la recomendada para aperturas internacionales. La inversión inicial en mercancía es de 49.500 euros + impuestos, ofreciendo un beneficio mínimo mensual mínimo de 12.000€, no obstante, en este modelo de inversión se suele contratar personal para gestionar el negocio de manera eficiente.</w:t>
            </w:r>
          </w:p>
          <w:p>
            <w:pPr>
              <w:ind w:left="-284" w:right="-427"/>
              <w:jc w:val="both"/>
              <w:rPr>
                <w:rFonts/>
                <w:color w:val="262626" w:themeColor="text1" w:themeTint="D9"/>
              </w:rPr>
            </w:pPr>
            <w:r>
              <w:t>Ambiseint ha adaptado las condiciones de cada una de las opciones para que el franquiciado realice una inversión ajustada a sus necesidades y al potencial y tamaño de su zona de influencia y tenga a su disposición todas las herramientas necesarias para desarrollar con éxito la actividad, así como el apoyo de la central a nivel producto, comercial, formativo y de marketing.</w:t>
            </w:r>
          </w:p>
          <w:p>
            <w:pPr>
              <w:ind w:left="-284" w:right="-427"/>
              <w:jc w:val="both"/>
              <w:rPr>
                <w:rFonts/>
                <w:color w:val="262626" w:themeColor="text1" w:themeTint="D9"/>
              </w:rPr>
            </w:pPr>
            <w:r>
              <w:t>Para su crecimiento, Ambiseint busca profesionales con un marcado perfil comercial que, bajo el apoyo global de la marca, lleven a cabo la actividad, sin necesidad de local comercial, sin pago de canon de entrada ni royalties mensuales sobre su facturación, logrando un índice de rentabilidad muy por encima de la media, siendo este superior al 60% sobre la facturación respecto al precio de compra de los consumibles.</w:t>
            </w:r>
          </w:p>
          <w:p>
            <w:pPr>
              <w:ind w:left="-284" w:right="-427"/>
              <w:jc w:val="both"/>
              <w:rPr>
                <w:rFonts/>
                <w:color w:val="262626" w:themeColor="text1" w:themeTint="D9"/>
              </w:rPr>
            </w:pPr>
            <w:r>
              <w:t>Actualmente, la marca ya tiene presencia en tres continentes, con más de 100 delegaciones y franquicias y más de 100.000 clientes satisfechos, posicionándose como la primera cadena de franquicias de su sector.</w:t>
            </w:r>
          </w:p>
          <w:p>
            <w:pPr>
              <w:ind w:left="-284" w:right="-427"/>
              <w:jc w:val="both"/>
              <w:rPr>
                <w:rFonts/>
                <w:color w:val="262626" w:themeColor="text1" w:themeTint="D9"/>
              </w:rPr>
            </w:pPr>
            <w:r>
              <w:t>Esta postura de liderazgo tiene su base en un sistema de gestión totalmente estandarizado tras casi 20 años de actividad. Durante este tiempo, Ambiseint no ha cesado en la investigación y desarrollo de nuevos productos, lo que le ha permitido contar con el catálogo más innovador y amplio del mercado, cubriendo así las necesidades de todos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https://www.notasdeprensa.es/ambiseint-establece-distintos-niveles-de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