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amplía su oferta de ahorro e inversión con el fondo Target Maturity Euro Bond III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fondo tipo objetivo ofrece una rentabilidad estimada TAE desde el 2,20% y hasta el 2,70% durante cuatro años. El 20% de la cartera se invierte en empresas que promueven la reducción de las emisiones de gases de efecto invernadero. Con este nuevo lanzamiento, la compañía continúa adaptándose al nuevo contexto de mercado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ha lanzado al mercado el fondo Allianz Target Maturity Euro Bond III, tipo objetivo y sigue ampliando su oferta de ahorro e inversión. Este fondo de renta fija, con atractivos rendimientos, es una muestra más de la constante adaptación de la compañía a las condiciones del mercado y las necesidades de los clientes.</w:t>
            </w:r>
          </w:p>
          <w:p>
            <w:pPr>
              <w:ind w:left="-284" w:right="-427"/>
              <w:jc w:val="both"/>
              <w:rPr>
                <w:rFonts/>
                <w:color w:val="262626" w:themeColor="text1" w:themeTint="D9"/>
              </w:rPr>
            </w:pPr>
            <w:r>
              <w:t>El nuevo fondo, accesible desde una inversión mínima de 1.000€, ofrece una rentabilidad estimada TAE entre el 2,20% y el 2,70%*, con una duración de cuatro años. Esto equivale a una rentabilidad estimada entre el 9,1% y el 11,2% para la duración total del fondo. Allianz Target Maturity Euro Bond III puede contratarse a través del producto unit linked Allianz FondoVida de Allianz Seguros o a través de la agencia de valores Allianz Soluciones de Inversión.</w:t>
            </w:r>
          </w:p>
          <w:p>
            <w:pPr>
              <w:ind w:left="-284" w:right="-427"/>
              <w:jc w:val="both"/>
              <w:rPr>
                <w:rFonts/>
                <w:color w:val="262626" w:themeColor="text1" w:themeTint="D9"/>
              </w:rPr>
            </w:pPr>
            <w:r>
              <w:t>El objetivo es mantener la inversión en una cartera de bonos con un vencimiento cercano al del vencimiento del fondo y con una gestión activa y atenta a cualquier situación de mercado. Cabe señalar, además, que este producto de inversión observa criterios de sostenibilidad. El 20% de la cartera se invierte en empresas que favorecen la reducción de los gases de efecto invernadero y ha sido diseñado aplicando criterios éticos que no permiten inversiones en sectores como el tabaco o el alcohol, entre otros.</w:t>
            </w:r>
          </w:p>
          <w:p>
            <w:pPr>
              <w:ind w:left="-284" w:right="-427"/>
              <w:jc w:val="both"/>
              <w:rPr>
                <w:rFonts/>
                <w:color w:val="262626" w:themeColor="text1" w:themeTint="D9"/>
              </w:rPr>
            </w:pPr>
            <w:r>
              <w:t>Una oferta diversificada de ahorro e inversiónCon este lanzamiento, la compañía sigue completando su oferta de productos de ahorro e inversión y amplía su gama de productos de Wealth Management.</w:t>
            </w:r>
          </w:p>
          <w:p>
            <w:pPr>
              <w:ind w:left="-284" w:right="-427"/>
              <w:jc w:val="both"/>
              <w:rPr>
                <w:rFonts/>
                <w:color w:val="262626" w:themeColor="text1" w:themeTint="D9"/>
              </w:rPr>
            </w:pPr>
            <w:r>
              <w:t>Allianz pone a disposición de sus clientes diversos productos financieros capaces de responder a necesidades diversas de los ahorradores: Allianz Capital, Unit Linked, planes de pensiones, fondos de inversión o Allianz Perspektive (producto de ahorro garantizado a largo plazo con la garantía de Allianz Leben, la mayor compañía de Vida de Alemania).</w:t>
            </w:r>
          </w:p>
          <w:p>
            <w:pPr>
              <w:ind w:left="-284" w:right="-427"/>
              <w:jc w:val="both"/>
              <w:rPr>
                <w:rFonts/>
                <w:color w:val="262626" w:themeColor="text1" w:themeTint="D9"/>
              </w:rPr>
            </w:pPr>
            <w:r>
              <w:t>Allianz cuenta con la agencia de valores Allianz Soluciones de Inversión, centrada en el asesoramiento financiero, la planificación patrimonial y otros servicios financieros, gestiona desde 2020 seis fondos de inversión (Allianz Cartera Dinámica, Allianz Bolsa Española, Allianz Cartera Moderada, Allianz Cartera Decidida, Allianz Conservador Dinámico y Cartera Bonos 2026), cuatro de los cuales fueron calificados con 5 estrellas en el Morningstar Rating en sus primeros tres años de actividad (marzo de 2023).</w:t>
            </w:r>
          </w:p>
          <w:p>
            <w:pPr>
              <w:ind w:left="-284" w:right="-427"/>
              <w:jc w:val="both"/>
              <w:rPr>
                <w:rFonts/>
                <w:color w:val="262626" w:themeColor="text1" w:themeTint="D9"/>
              </w:rPr>
            </w:pPr>
            <w:r>
              <w:t>Recientemente, la agencia de valores de Allianz puso en el mercado Target Maturity Euro Bond II, un fondo de inversión tipo objetivo con duración prevista hasta 2027. Además, Allianz Soluciones de Inversión gestiona los Planes de Pensiones de Allianz con un patrimonio total de más de 300 millones de euros. Allianz Soluciones de Inversión gestiona un patrimonio total superior a los 670 millones de euros (mitad de febrero 2024).</w:t>
            </w:r>
          </w:p>
          <w:p>
            <w:pPr>
              <w:ind w:left="-284" w:right="-427"/>
              <w:jc w:val="both"/>
              <w:rPr>
                <w:rFonts/>
                <w:color w:val="262626" w:themeColor="text1" w:themeTint="D9"/>
              </w:rPr>
            </w:pPr>
            <w:r>
              <w:t>(*) En el momento del lanzamiento. Esta información se mantiene actualizada actualiza a medida que se acerca el final del periodo de comercialización (12 abril 2024). Más información en el Documento de Datos Fundamentales y el folleto informativo del Fondo disponible en la web www.allianz.es</w:t>
            </w:r>
          </w:p>
          <w:p>
            <w:pPr>
              <w:ind w:left="-284" w:right="-427"/>
              <w:jc w:val="both"/>
              <w:rPr>
                <w:rFonts/>
                <w:color w:val="262626" w:themeColor="text1" w:themeTint="D9"/>
              </w:rPr>
            </w:pPr>
            <w:r>
              <w:t>Sobre Allianz SegurosAllianz Seguros es la principal filial del Grupo Allianz en España y una de las compañías líderes del sector asegurador español. Para ofrecer los mejores resultados para sus más de 3 millones de clientes, la compañía apuesta por la cercanía física (a través de sus Sucursales y Delegaciones con cerca de 2.000 empleados/as y su red de más de 10.000 mediadores), y tecnológica (mediante herramientas como su aplicación para smartphones y tabletas, su área de eCliente de la web corporativa, y sus más de 500.000 SMS enviados anualmente a sus clientes).</w:t>
            </w:r>
          </w:p>
          <w:p>
            <w:pPr>
              <w:ind w:left="-284" w:right="-427"/>
              <w:jc w:val="both"/>
              <w:rPr>
                <w:rFonts/>
                <w:color w:val="262626" w:themeColor="text1" w:themeTint="D9"/>
              </w:rPr>
            </w:pPr>
            <w:r>
              <w:t>Cuenta con una de las gamas de productos más completa e innovadora del mercado y se basa en el concepto de seguridad integral. Por eso, los productos y servicios que ofrece la compañía van desde el ámbito personal y familiar al empresarial, ofreciendo desde seguros de Vida, Autos, Hogar, Accidentes, o Salud, pasando por Multirriesgos para empresas y comercios, hasta las soluciones aseguradoras personalizadas más complejas.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w:t>
      </w:r>
    </w:p>
    <w:p w:rsidR="00C31F72" w:rsidRDefault="00C31F72" w:rsidP="00AB63FE">
      <w:pPr>
        <w:pStyle w:val="Sinespaciado"/>
        <w:spacing w:line="276" w:lineRule="auto"/>
        <w:ind w:left="-284"/>
        <w:rPr>
          <w:rFonts w:ascii="Arial" w:hAnsi="Arial" w:cs="Arial"/>
        </w:rPr>
      </w:pPr>
      <w:r>
        <w:rPr>
          <w:rFonts w:ascii="Arial" w:hAnsi="Arial" w:cs="Arial"/>
        </w:rPr>
        <w:t>Allianz</w:t>
      </w:r>
    </w:p>
    <w:p w:rsidR="00AB63FE" w:rsidRDefault="00C31F72" w:rsidP="00AB63FE">
      <w:pPr>
        <w:pStyle w:val="Sinespaciado"/>
        <w:spacing w:line="276" w:lineRule="auto"/>
        <w:ind w:left="-284"/>
        <w:rPr>
          <w:rFonts w:ascii="Arial" w:hAnsi="Arial" w:cs="Arial"/>
        </w:rPr>
      </w:pPr>
      <w:r>
        <w:rPr>
          <w:rFonts w:ascii="Arial" w:hAnsi="Arial" w:cs="Arial"/>
        </w:rPr>
        <w:t>638930008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https://www.notasdeprensa.es/allianz-amplia-su-oferta-de-ahorro-e-inversion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Seguros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