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lanza emision bonos convertibles importe 450 millones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bonos tendrán vencimiento a cinco años, un tipo de interés entre el 2,25% y el3,00% con pago semestral a vencimiento y una prima de conversión estimada entre 32,5% y 37,5%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compañía destinará los fondos fundamentalmente a ampliar el plazo medio dela deuda y reducir su coste medio, incrementando su liquidez y diversificando las fuentes de financiación</w:t>
            </w:r>
          </w:p>
          <w:p>
            <w:pPr>
              <w:ind w:left="-284" w:right="-427"/>
              <w:jc w:val="both"/>
              <w:rPr>
                <w:rFonts/>
                <w:color w:val="262626" w:themeColor="text1" w:themeTint="D9"/>
              </w:rPr>
            </w:pPr>
            <w:r>
              <w:t>	HSBC Bank Plc es el Coordinador Global y será además Entidad Directora junto con Crédit Agricole Corporate and Investment Bank, Société Génerale Corporate and  Investment Banking y The Royal Bank of Scotland plc</w:t>
            </w:r>
          </w:p>
          <w:p>
            <w:pPr>
              <w:ind w:left="-284" w:right="-427"/>
              <w:jc w:val="both"/>
              <w:rPr>
                <w:rFonts/>
                <w:color w:val="262626" w:themeColor="text1" w:themeTint="D9"/>
              </w:rPr>
            </w:pPr>
            <w:r>
              <w:t>	ACCIONA ha iniciado hoy su primera emisión de deuda corporativa en el mercado de capitales con el lanzamiento de una emisión debonos convertibles con vencimiento en 2019, por un importe máximo de 450 millones de euros. Los términos finales de la emisión(sujetos al ejercicio de sobre-adjudicación) quedarán fijados trasel proceso de prospección acelerada de la demanda que realizarán las Entidades Directoras para identificar inversores interesados, proceso que previsiblemente concluirá hoy mismo. La fecha previstade cierre de la operación es el 30 de enero de 2014.</w:t>
            </w:r>
          </w:p>
          <w:p>
            <w:pPr>
              <w:ind w:left="-284" w:right="-427"/>
              <w:jc w:val="both"/>
              <w:rPr>
                <w:rFonts/>
                <w:color w:val="262626" w:themeColor="text1" w:themeTint="D9"/>
              </w:rPr>
            </w:pPr>
            <w:r>
              <w:t>	El importe final quedará determinado por el importe base de 325 millones de euros y los posibles aumentos derivados de la ejecución de los derechos de ampliación por parte de la compañía, en 75millones de euros, y de los derechos de sobre-adjudicación de las Entidades Directoras, en 50 millones de euros.</w:t>
            </w:r>
          </w:p>
          <w:p>
            <w:pPr>
              <w:ind w:left="-284" w:right="-427"/>
              <w:jc w:val="both"/>
              <w:rPr>
                <w:rFonts/>
                <w:color w:val="262626" w:themeColor="text1" w:themeTint="D9"/>
              </w:rPr>
            </w:pPr>
            <w:r>
              <w:t>	Los bonos convertibles se emitirán a la par, tendrán forma nominativa y un valor nominal unitario de 100.000 euros. Los bonos serán convertibles en acciones ordinarias ya existentes o de nueva emisión. El precio de conversión se fijará en una prima de entre el 32,5%  y el 37,5% sobre el precio medio ponderado decotización de las acciones durante el periodo comprendido entre el lanzamiento de la emisión y la fijación de sus términos finales.</w:t>
            </w:r>
          </w:p>
          <w:p>
            <w:pPr>
              <w:ind w:left="-284" w:right="-427"/>
              <w:jc w:val="both"/>
              <w:rPr>
                <w:rFonts/>
                <w:color w:val="262626" w:themeColor="text1" w:themeTint="D9"/>
              </w:rPr>
            </w:pPr>
            <w:r>
              <w:t>	Devengarán un interés fijo anual comprendido entre el 2,25% y el 3,00%, pagadero semestralmente por periodos vencidos. Elvencimiento de los bonos tendrá lugar previsiblemente el 30 de enero de 2019 y se amortizarán por su valor nominal en dicha fecha, a menos que se hubieran convertido, amortizado o comprado y cancelado previamente.</w:t>
            </w:r>
          </w:p>
          <w:p>
            <w:pPr>
              <w:ind w:left="-284" w:right="-427"/>
              <w:jc w:val="both"/>
              <w:rPr>
                <w:rFonts/>
                <w:color w:val="262626" w:themeColor="text1" w:themeTint="D9"/>
              </w:rPr>
            </w:pPr>
            <w:r>
              <w:t>	La compañía podrá optar por la amortización anticipada de los bonos convertibles, por su valor nominal más los intereses devengados y no pagados, en cualquier momento, una vez transcurridos 3 años y 21 días de la fecha de cierre de la emisión,si el valor de mercado de las acciones subyacentes a cada bono excede de 130.000 euros durante un período determinado o en cualquier momento si más del 85% del importe nominal de los bonos han sido convertidos, amortizados o comprados y cancelados. Lostítulos cotizarán en el Mercado Abierto de la Bolsa de Frankfurt(Open Market (Freiverkehr) of the Frankfurt StockExchange).</w:t>
            </w:r>
          </w:p>
          <w:p>
            <w:pPr>
              <w:ind w:left="-284" w:right="-427"/>
              <w:jc w:val="both"/>
              <w:rPr>
                <w:rFonts/>
                <w:color w:val="262626" w:themeColor="text1" w:themeTint="D9"/>
              </w:rPr>
            </w:pPr>
            <w:r>
              <w:t>	Los fondos obtenidos como consecuencia de la emisión sedestinarán fundamentalmente a extender el plazo medio de la deuda y reducir su coste medio, incrementando la liquidez y diversificando las fuentes de financiación.</w:t>
            </w:r>
          </w:p>
          <w:p>
            <w:pPr>
              <w:ind w:left="-284" w:right="-427"/>
              <w:jc w:val="both"/>
              <w:rPr>
                <w:rFonts/>
                <w:color w:val="262626" w:themeColor="text1" w:themeTint="D9"/>
              </w:rPr>
            </w:pPr>
            <w:r>
              <w:t>	HSBC Bank Plc es el Coordinador Global y será además Entidad Directora junto con Crédit Agricole Corporate and Investment Bank,Société Génerale Corporate  and  Investment Bankingy The Royal Bank of Scotland plc.</w:t>
            </w:r>
          </w:p>
          <w:p>
            <w:pPr>
              <w:ind w:left="-284" w:right="-427"/>
              <w:jc w:val="both"/>
              <w:rPr>
                <w:rFonts/>
                <w:color w:val="262626" w:themeColor="text1" w:themeTint="D9"/>
              </w:rPr>
            </w:pPr>
            <w:r>
              <w:t>	El Consejo de Administración  de ACCIONA, en base a la delegación conferida por la Junta General de Accionistas, aprobó ayer la emisión, así como la ampliación de capital que fuera necesaria para permitir la conversión de los bonos en acciones de nueva emisión, ampliación en la cual los actuales accionistas notendrían derecho de suscripción preferente.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https://www.notasdeprensa.es/acciona-lanza-emision-bonos-convertibles_1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