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abertis cierra emisiones privadas de bonos por 350 Mn de euros a 10 y 12 años a un tipo de interés mínimo histórico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abertis ha cerrado en los últimos días emisiones privadas de bonos por valor de 350 millones de euros con dos importantes inversores cualificados institucionales del sector asegurador, con vencimientos a 10 y 12 años y un cupón de 3,125%. Se trata de un coste muy competitivo, inferior a la rentabilidad del Tesoro Español, y que se sitúa por debajo del coste de la deuda del Grupo.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 Destacan, asimismo, los plazos conseguidos en las emisiones, ya que son inusualmente largos en el mercado de capitales para empresas españolas, y demuestran el apetito inversor internacional por la deuda corporativa del Grupo.   Los fondos se destinarán a refinanciar deuda a corto plazo, alargando el perfil de vencimientos de deuda de la compañía. El coste medio de la deuda cerró en 2013 en el 5,1%. abertis no tiene necesidades destacadas de financiación hasta 2016.   Estas emisiones se suman a otras que abertis ha llevado a cabo en los últimos meses y que ponen de relieve la eficiencia en la gestión activa del balance de la compañía. El año pasado abertis emitió una obligación de 600 millones de euros a 10 años con un cupón de 3,75%.   Estas emisiones refuerzan la capacidad de abertis de aprovechar las oportunidades que ofrece el mercado de crédito para conseguir condiciones atractivas y seguir generando valor para sus accionistas.    abertis cuenta con una calificación crediticia de BBB por parte de S and P y de BBB+ por parte de Fitch Ratings.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abertis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https://www.notasdeprensa.es/abertis-cierra-emisiones-privadas-de-bonos-por_1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