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anuncia los resultados del primer semestre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Cartera de pedidos record de 48.000 M€; con un crecimiento del 8 % en ingeniería y construcción y del 12% en concesiones. Mejora del rendimiento del negocio: crecimiento de EBITDA y beneficio neto obtenido en el periodo. Abengoa Yield; un vehículo a través del cual Abengoa podrá reciclar capital de manera recurrente a largo plazo y materializar el valor de las concesiones.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12 de agosto de 2014.- Abengoa (MCE: ABG.B/P SM /NASDAQ: ABGB), compañía internacional que desarrolla soluciones tecnológicas innovadoras para el desarrollo sostenible en los sectores de energía y medioambiente, ha obtenido unas ventas de 3.405 M€ en el primer semestre de 2014, manteniéndose estables respecto al mismo periodo de 2013, un resultado operativo (EBITDA) de 695 M€, un 31 % más que en el primer semestre de 2013 y un beneficio neto de 69 M€ en el primer semestre, lo que supone un crecimiento del 2 % en este periodo.</w:t>
            </w:r>
          </w:p>
          <w:p>
            <w:pPr>
              <w:ind w:left="-284" w:right="-427"/>
              <w:jc w:val="both"/>
              <w:rPr>
                <w:rFonts/>
                <w:color w:val="262626" w:themeColor="text1" w:themeTint="D9"/>
              </w:rPr>
            </w:pPr>
            <w:r>
              <w:t>	La cartera total de pedidos a 30 de junio 2014 ascendió a más de 48.000 M€; lo que representa un incremento del 11 %. Esta está compuesta por la cartera de ingeniería y construcción de 7.700 M€, con un crecimiento del 8 % respecto a 30 de junio de 2013, y una cartera de pedidos de los ingresos de concesiones de 40.500 M€, que ha aumentado también en un 12 % sobre una base interanual. El endeudamiento corporativo a 30 de junio 2014 es de 2.5x, en línea con el trimestre anterior, y se ha reducido un 0.7x en un año.</w:t>
            </w:r>
          </w:p>
          <w:p>
            <w:pPr>
              <w:ind w:left="-284" w:right="-427"/>
              <w:jc w:val="both"/>
              <w:rPr>
                <w:rFonts/>
                <w:color w:val="262626" w:themeColor="text1" w:themeTint="D9"/>
              </w:rPr>
            </w:pPr>
            <w:r>
              <w:t>	La diversificación geográfica sigue siendo uno de los factores clave en el crecimiento y en la estrategia de Abengoa. Un 39 % de los ingresos del primer semestre corresponde a Norte América (USA y México), que se convierte en la geografía principal; un 25 % corresponde a Sudamérica; un 14 % a España, un 13 % al resto de Europa, y un 9 % a Asia y África.</w:t>
            </w:r>
          </w:p>
          <w:p>
            <w:pPr>
              <w:ind w:left="-284" w:right="-427"/>
              <w:jc w:val="both"/>
              <w:rPr>
                <w:rFonts/>
                <w:color w:val="262626" w:themeColor="text1" w:themeTint="D9"/>
              </w:rPr>
            </w:pPr>
            <w:r>
              <w:t>	Manuel Sánchez Ortega, consejero delegado de Abengoa, ha querido destacar: “Me complace ver cómo hemos sido capaces de continuar con nuestro fuerte desempeño operativo en el primer semestre de 2014, incrementando nuestro EBITDA por encima del 30 % respecto al año anterior como consecuencia de una mejora en los márgenes de todas nuestras actividades. Sin ninguna duda, el éxito de la creación de Abengoa Yield es clave en nuestra estrategia, ya que ayudará a la compañía a maximizar los retornos sobre las inversiones de capital en los activos de concesiones de forma recurrente y a largo plazo, mientras que al mismo tiempo se reduce el coste de capital de Abengoa y se mejora su modelo de negocio".</w:t>
            </w:r>
          </w:p>
          <w:p>
            <w:pPr>
              <w:ind w:left="-284" w:right="-427"/>
              <w:jc w:val="both"/>
              <w:rPr>
                <w:rFonts/>
                <w:color w:val="262626" w:themeColor="text1" w:themeTint="D9"/>
              </w:rPr>
            </w:pPr>
            <w:r>
              <w:t>	Operaciones corporativas</w:t>
            </w:r>
          </w:p>
          <w:p>
            <w:pPr>
              <w:ind w:left="-284" w:right="-427"/>
              <w:jc w:val="both"/>
              <w:rPr>
                <w:rFonts/>
                <w:color w:val="262626" w:themeColor="text1" w:themeTint="D9"/>
              </w:rPr>
            </w:pPr>
            <w:r>
              <w:t>	El 18 de junio 2014 Abengoa Yield Plc ("Abengoa Yield"), filial de Abengoa, cerró su oferta pública inicial de 28.577.500 acciones ordinarias, incluido el ejercicio completo de la opción de compra de acciones adicionales por los bancos aseguradores. Las acciones se colocaron a un precio de $ 29 por acción por un valor bruto total de $ 828,7 millones (611,0 M€) antes de comisiones y gastos. Como resultado de la oferta pública inicial, las acciones de Abengoa Yield comenzaron a cotizar en NASDAQ Global Market Select bajo el símbolo "ABY". Actualmente Abengoa mantiene una participación del 64,3 % en Abengoa Yield.</w:t>
            </w:r>
          </w:p>
          <w:p>
            <w:pPr>
              <w:ind w:left="-284" w:right="-427"/>
              <w:jc w:val="both"/>
              <w:rPr>
                <w:rFonts/>
                <w:color w:val="262626" w:themeColor="text1" w:themeTint="D9"/>
              </w:rPr>
            </w:pPr>
            <w:r>
              <w:t>	Resultados por segmentos</w:t>
            </w:r>
          </w:p>
          <w:p>
            <w:pPr>
              <w:ind w:left="-284" w:right="-427"/>
              <w:jc w:val="both"/>
              <w:rPr>
                <w:rFonts/>
                <w:color w:val="262626" w:themeColor="text1" w:themeTint="D9"/>
              </w:rPr>
            </w:pPr>
            <w:r>
              <w:t>	El segmento de ingeniería y construcción, incluyendo el resultado de las actividades tecnológicas, ha disminuido un 5 % hasta los 2.068 M€, mientras que el EBITDA se ha incrementado un 5 %, hasta los 366 M€, que representa un margen del 17,7. La división de ingeniería y construcción ha seguido teniendo un muy buen trimestre en términos de contratación, con la adjudicación de contratos nuevos en el primes semestre de 2014 por valor de 2.942 M€, un 16 % más que en el mismo semestre de 2013, lo que sitúa la cartera de pedidos en 7.671 M€ a 30 de junio de 2014, con unas oportunidades comerciales identificadas por valor de 165.000 M€. La ligera disminución en los ingresos durante el primer semestre de 2014, como se esperaba, se debió a la terminación de la ejecución de algunos proyectos grandes, como Solana, una planta CSP de 280 megavatios en Arizona, Estados Unidos.</w:t>
            </w:r>
          </w:p>
          <w:p>
            <w:pPr>
              <w:ind w:left="-284" w:right="-427"/>
              <w:jc w:val="both"/>
              <w:rPr>
                <w:rFonts/>
                <w:color w:val="262626" w:themeColor="text1" w:themeTint="D9"/>
              </w:rPr>
            </w:pPr>
            <w:r>
              <w:t>	La actividad de infraestructuras de tipo concesional ha incrementado sus ventas un 46 % frente al año anterior, alcanzando los 346 M€, con un EBITDA que ha aumentado un 74 % alcanzando los 244 M€. Este incremento se debe principalmente a los nuevos activos que han entrado en operación y el fuerte comportamiento de los activos que ya están en funcionamiento, junto con las mejores condiciones climáticas durante el primer semestre de 2014. La cartera de ingresos a largo plazo en el segmento de Infraestructuras de tipo concesional alcanzan 40.500 M€ a 30 de junio, 2014, un aumento de 12 % interanual. La vida media restante de los activos contratados en concesiones es aproximadamente de 26 años.</w:t>
            </w:r>
          </w:p>
          <w:p>
            <w:pPr>
              <w:ind w:left="-284" w:right="-427"/>
              <w:jc w:val="both"/>
              <w:rPr>
                <w:rFonts/>
                <w:color w:val="262626" w:themeColor="text1" w:themeTint="D9"/>
              </w:rPr>
            </w:pPr>
            <w:r>
              <w:t>	El área de producción industrial, que incluye el negocio de bioenergía, ha aumentado un 1 % con un nivel de ventas de 991 M€, con un EBITDA de 84 M€ comparado con 41 M€ en el primer semestre de 2013, lo que supone un incremento interanual del 105 %, principalmente debido a los buenos resultados de nuestras operaciones en Brasil y Estados Unidos, compensando un entorno que todavía supone un reto en Europa.</w:t>
            </w:r>
          </w:p>
          <w:p>
            <w:pPr>
              <w:ind w:left="-284" w:right="-427"/>
              <w:jc w:val="both"/>
              <w:rPr>
                <w:rFonts/>
                <w:color w:val="262626" w:themeColor="text1" w:themeTint="D9"/>
              </w:rPr>
            </w:pPr>
            <w:r>
              <w:t>	Objetivos financieros</w:t>
            </w:r>
          </w:p>
          <w:p>
            <w:pPr>
              <w:ind w:left="-284" w:right="-427"/>
              <w:jc w:val="both"/>
              <w:rPr>
                <w:rFonts/>
                <w:color w:val="262626" w:themeColor="text1" w:themeTint="D9"/>
              </w:rPr>
            </w:pPr>
            <w:r>
              <w:t>	La compañía ha reiterado sus previsiones para el año 2014.</w:t>
            </w:r>
          </w:p>
          <w:p>
            <w:pPr>
              <w:ind w:left="-284" w:right="-427"/>
              <w:jc w:val="both"/>
              <w:rPr>
                <w:rFonts/>
                <w:color w:val="262626" w:themeColor="text1" w:themeTint="D9"/>
              </w:rPr>
            </w:pPr>
            <w:r>
              <w:t>	Datos de la conferencia de presentación de resultados</w:t>
            </w:r>
          </w:p>
          <w:p>
            <w:pPr>
              <w:ind w:left="-284" w:right="-427"/>
              <w:jc w:val="both"/>
              <w:rPr>
                <w:rFonts/>
                <w:color w:val="262626" w:themeColor="text1" w:themeTint="D9"/>
              </w:rPr>
            </w:pPr>
            <w:r>
              <w:t>	Manuel Sánchez Ortega, consejero delegado de Abengoa, Bárbara Zubiría, EVP de Mercados de Capitales y Relación con Inversores y Santiago Seage ofrecerán una conferencia para presentar los resultados que se retransmitirá simultáneamente vía web a las 6:00 p.m. (hora de Madrid) y 12:00 p.m. (hora de Nueva York).</w:t>
            </w:r>
          </w:p>
          <w:p>
            <w:pPr>
              <w:ind w:left="-284" w:right="-427"/>
              <w:jc w:val="both"/>
              <w:rPr>
                <w:rFonts/>
                <w:color w:val="262626" w:themeColor="text1" w:themeTint="D9"/>
              </w:rPr>
            </w:pPr>
            <w:r>
              <w:t>	Para poder acceder a la conferencia, los participantes deberán marcar el número +34 91 788 93 03. Dicha conferencia se podrá seguir en directo a través de la página web de Abengoa (www.abengoa.com). Se recomienda acceder a la página al menos 15 minutos antes del comienzo de la misma para poder registrarse y descargar el software de audio necesario para escucharla.</w:t>
            </w:r>
          </w:p>
          <w:p>
            <w:pPr>
              <w:ind w:left="-284" w:right="-427"/>
              <w:jc w:val="both"/>
              <w:rPr>
                <w:rFonts/>
                <w:color w:val="262626" w:themeColor="text1" w:themeTint="D9"/>
              </w:rPr>
            </w:pPr>
            <w:r>
              <w:t>	La grabación de la conferencia estará disponible en la sección de Inversores de la página web de Abengoa unas dos horas después de que haya finalizado.</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 - Patricia Malo de Molina Meléndez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954 93 71 11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https://www.notasdeprensa.es/abengoa-anuncia-los-resultados-del-primer_2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