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anuncia los resultados del primer trimestre de 2014 (14 de mayo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Neto Proforma crece un 94 % respecto a 2013 alcanzando los 42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EBITDA crece un 24 % respecto a 2013 alcanzando los 302 M€.</w:t>
            </w:r>
          </w:p>
          <w:p>
            <w:pPr>
              <w:ind w:left="-284" w:right="-427"/>
              <w:jc w:val="both"/>
              <w:rPr>
                <w:rFonts/>
                <w:color w:val="262626" w:themeColor="text1" w:themeTint="D9"/>
              </w:rPr>
            </w:pPr>
            <w:r>
              <w:t>		La cifra de ventas es de 1.584 M€, un descenso del 4% con respecto a 2013.</w:t>
            </w:r>
          </w:p>
          <w:p>
            <w:pPr>
              <w:ind w:left="-284" w:right="-427"/>
              <w:jc w:val="both"/>
              <w:rPr>
                <w:rFonts/>
                <w:color w:val="262626" w:themeColor="text1" w:themeTint="D9"/>
              </w:rPr>
            </w:pPr>
            <w:r>
              <w:t>		El endeudamiento corporativo es de 2,5x.</w:t>
            </w:r>
          </w:p>
          <w:p>
            <w:pPr>
              <w:ind w:left="-284" w:right="-427"/>
              <w:jc w:val="both"/>
              <w:rPr>
                <w:rFonts/>
                <w:color w:val="262626" w:themeColor="text1" w:themeTint="D9"/>
              </w:rPr>
            </w:pPr>
            <w:r>
              <w:t>	Abengoa (MCE: ABG.B/P SM /NASDAQ: ABGB), compañía internacional que desarrolla soluciones tecnológicas innovadoras para el desarrollo sostenible en los sectores de energía y medioambiente, ha obtenido unas ventas de 1.584 M€ en el primer trimestre de 2014, lo que implica una caída del 4 % respecto a 2013 y un resultado operativo (EBITDA) de 302 M€, un 24 % más que en el primer trimestre de 2013. El beneficio neto pro-forma ha sido de 42 M€ en el primer trimestre. El beneficio neto pro-forma excluye el mark-to-market de los derivados.</w:t>
            </w:r>
          </w:p>
          <w:p>
            <w:pPr>
              <w:ind w:left="-284" w:right="-427"/>
              <w:jc w:val="both"/>
              <w:rPr>
                <w:rFonts/>
                <w:color w:val="262626" w:themeColor="text1" w:themeTint="D9"/>
              </w:rPr>
            </w:pPr>
            <w:r>
              <w:t>	La diversificación geográfica sigue siendo uno de los factores clave en el crecimiento y en la estrategia de Abengoa. Un 45 % de los ingresos del primer trimestre corresponde a Norte América (USA y México), que se convierte en geografía principal; un 20 %, corresponde a Sudamérica; un 13 %, al resto de Europa, y un 12 %, a Asia y África.</w:t>
            </w:r>
          </w:p>
          <w:p>
            <w:pPr>
              <w:ind w:left="-284" w:right="-427"/>
              <w:jc w:val="both"/>
              <w:rPr>
                <w:rFonts/>
                <w:color w:val="262626" w:themeColor="text1" w:themeTint="D9"/>
              </w:rPr>
            </w:pPr>
            <w:r>
              <w:t>	Manuel Sánchez Ortega, consejero delegado de Abengoa, ha querido destacar que “El primer trimestre establece las bases para alcanzar los objetivos que nos hemos fijado para 2014. El buen momento de nuestro negocio como demuestra el backlog y el pipeline, junto con la mejorada experimentada en bioenergía y la contribución esperada de las nuevas concesiones que entrarán en operación durante el año 2014, nos llevan a confirmar nuestros objetivos financieros y de negocio para el año".</w:t>
            </w:r>
          </w:p>
          <w:p>
            <w:pPr>
              <w:ind w:left="-284" w:right="-427"/>
              <w:jc w:val="both"/>
              <w:rPr>
                <w:rFonts/>
                <w:color w:val="262626" w:themeColor="text1" w:themeTint="D9"/>
              </w:rPr>
            </w:pPr>
            <w:r>
              <w:t>	Operaciones corporativas</w:t>
            </w:r>
          </w:p>
          <w:p>
            <w:pPr>
              <w:ind w:left="-284" w:right="-427"/>
              <w:jc w:val="both"/>
              <w:rPr>
                <w:rFonts/>
                <w:color w:val="262626" w:themeColor="text1" w:themeTint="D9"/>
              </w:rPr>
            </w:pPr>
            <w:r>
              <w:t>	Durante el primer trimestre de 2014, Abengoa ha anunciado una serie de operaciones relevantes para la compañía, reforzando la consecución de objetivos y compromisos para el año.</w:t>
            </w:r>
          </w:p>
          <w:p>
            <w:pPr>
              <w:ind w:left="-284" w:right="-427"/>
              <w:jc w:val="both"/>
              <w:rPr>
                <w:rFonts/>
                <w:color w:val="262626" w:themeColor="text1" w:themeTint="D9"/>
              </w:rPr>
            </w:pPr>
            <w:r>
              <w:t>	El 21 de marzo de 2014, Abengoa emitió bonos en los mercados de capitales por un importe total de 500 M€ con vencimiento en 2021 para refinanciar deuda corporativa, alargando el perfil de vencimiento de su deuda mejorando el coste de financiación al acceder a los mercados de capitales a un 3,625 % por debajo del coste de la deuda refinanciada.</w:t>
            </w:r>
          </w:p>
          <w:p>
            <w:pPr>
              <w:ind w:left="-284" w:right="-427"/>
              <w:jc w:val="both"/>
              <w:rPr>
                <w:rFonts/>
                <w:color w:val="262626" w:themeColor="text1" w:themeTint="D9"/>
              </w:rPr>
            </w:pPr>
            <w:r>
              <w:t>	El 3 de marzo de 2014, Abengoa anunció la solicitud de registro con el formulario F-1 ante la Securities and Exchange Commission (Comisión de Bolsa y Valores,"SEC”) en relación con la oferta pública inicial propuesta de acciones ordinarias de un yieldco vehicle (modificada el 28 de abril de 2014 y el 13 de mayo de 2014). Se espera que la oferta pública inicial de comienzo una vez la SEC concluya su proceso de revisión, sujeto al mercado y a otras condiciones. Esta operación, una vez completada, creará una plataforma sostenible para el reciclaje de equity en el futuro.</w:t>
            </w:r>
          </w:p>
          <w:p>
            <w:pPr>
              <w:ind w:left="-284" w:right="-427"/>
              <w:jc w:val="both"/>
              <w:rPr>
                <w:rFonts/>
                <w:color w:val="262626" w:themeColor="text1" w:themeTint="D9"/>
              </w:rPr>
            </w:pPr>
            <w:r>
              <w:t>	El 26 de febrero de 2014, Abengoa llegó a un acuerdo preliminar para la venta de sus acciones de Qingdao BCTA Desalination Co., Ltd, la empresa creada para gestionar el proyecto de desalinización ubicado en la región de Qingdao a Qingdao Water Group, al norte de China, una compañía estatal dedicada a actividades empresariales relacionadas con el agua en Qingdao.</w:t>
            </w:r>
          </w:p>
          <w:p>
            <w:pPr>
              <w:ind w:left="-284" w:right="-427"/>
              <w:jc w:val="both"/>
              <w:rPr>
                <w:rFonts/>
                <w:color w:val="262626" w:themeColor="text1" w:themeTint="D9"/>
              </w:rPr>
            </w:pPr>
            <w:r>
              <w:t>	Estas tres transacciones refuerzan el perfil financiero y fortalecen el balance de la compañía.</w:t>
            </w:r>
          </w:p>
          <w:p>
            <w:pPr>
              <w:ind w:left="-284" w:right="-427"/>
              <w:jc w:val="both"/>
              <w:rPr>
                <w:rFonts/>
                <w:color w:val="262626" w:themeColor="text1" w:themeTint="D9"/>
              </w:rPr>
            </w:pPr>
            <w:r>
              <w:t>	Resultados por segmentos</w:t>
            </w:r>
          </w:p>
          <w:p>
            <w:pPr>
              <w:ind w:left="-284" w:right="-427"/>
              <w:jc w:val="both"/>
              <w:rPr>
                <w:rFonts/>
                <w:color w:val="262626" w:themeColor="text1" w:themeTint="D9"/>
              </w:rPr>
            </w:pPr>
            <w:r>
              <w:t>	El segmento de ingeniería y construcción, incluyendo el resultado de las actividades tecnológicas, ha disminuido un 10 % hasta los 1.052 M€, y el EBITDA se ha reducido un 12 %, hasta los 182 M€, con unos márgenes del 17% en línea con los conseguidos el primer trimestre de 2013. La división de ingeniería y construcción ha tenido un muy buen trimestre en términos de contratación, con la adjudicación de contratos nuevos por valor de 1.500 M€, un 78 % más que en el mimo trimestre de 2013, lo que sitúa la cartera de pedidos en 7.244 M€ a 31 de marzo de 2014, con unas oportunidades comerciales identificadas por valor de 159.000 M€.</w:t>
            </w:r>
          </w:p>
          <w:p>
            <w:pPr>
              <w:ind w:left="-284" w:right="-427"/>
              <w:jc w:val="both"/>
              <w:rPr>
                <w:rFonts/>
                <w:color w:val="262626" w:themeColor="text1" w:themeTint="D9"/>
              </w:rPr>
            </w:pPr>
            <w:r>
              <w:t>	La disminución en los ingresos era esperada, debido a la terminación de la ejecución de ciertos grandes proyectos como Solana y Solaben 1 y 6, así como a un menor nivel de ejecución de proyectos que finalizarán este año, como el de Mojave. Sin embargo, en base al nivel de backlog y la cartera de pedidos del período, Abengoa espera conseguir el crecimiento esperado a final de año.</w:t>
            </w:r>
          </w:p>
          <w:p>
            <w:pPr>
              <w:ind w:left="-284" w:right="-427"/>
              <w:jc w:val="both"/>
              <w:rPr>
                <w:rFonts/>
                <w:color w:val="262626" w:themeColor="text1" w:themeTint="D9"/>
              </w:rPr>
            </w:pPr>
            <w:r>
              <w:t>	La actividad de infraestructuras de tipo concesional ha incrementado sus ventas un 85% frente al año anterior, alcanzando los 126 M€, con un EBITDA que ha aumentado un 187 % alcanzando los 82 M€. Este incremento se debe principalmente a los nuevos activos que han entrado en operación durante los últimos 9 meses de 2013. El margen de EBITDA sube del 42 % al 65 % debido a una mayor contribución de las plantas de CSP de Solana, de cogeneración de Pemex y la línea de transmisión de Manaus.</w:t>
            </w:r>
          </w:p>
          <w:p>
            <w:pPr>
              <w:ind w:left="-284" w:right="-427"/>
              <w:jc w:val="both"/>
              <w:rPr>
                <w:rFonts/>
                <w:color w:val="262626" w:themeColor="text1" w:themeTint="D9"/>
              </w:rPr>
            </w:pPr>
            <w:r>
              <w:t>	El área de producción industrial, que incluye el negocio de bioenergía, ha mantenido el nivel de ventas en 406 M€, comparado con el primer trimestre de 2013, con un aumento del EBITDA del 360 %, hasta los 39 M€ gracias a la mejor evolución del Crush Spread en EE.UU., que compensa un entorno todavía complicado en Europa. Brasil no contribuye durante el primer trimestre debido a la estación de plantación de cultivos. La planta de segunda generación que la compañía está construyendo en Hugoton, Kansas (EE.UU.) está pasando por la puesta en marcha y se espera que esté operativa a final del segundo trimestre de 2014.</w:t>
            </w:r>
          </w:p>
          <w:p>
            <w:pPr>
              <w:ind w:left="-284" w:right="-427"/>
              <w:jc w:val="both"/>
              <w:rPr>
                <w:rFonts/>
                <w:color w:val="262626" w:themeColor="text1" w:themeTint="D9"/>
              </w:rPr>
            </w:pPr>
            <w:r>
              <w:t>	Objetivos financieros</w:t>
            </w:r>
          </w:p>
          <w:p>
            <w:pPr>
              <w:ind w:left="-284" w:right="-427"/>
              <w:jc w:val="both"/>
              <w:rPr>
                <w:rFonts/>
                <w:color w:val="262626" w:themeColor="text1" w:themeTint="D9"/>
              </w:rPr>
            </w:pPr>
            <w:r>
              <w:t>	Dada la positiva evolución de los principales indicadores de desempeño de la actividad de la compañía, con un trimestre muy fuerte en términos de nuevas contrataciones y la recuperación de bioenergía, la compañía confirma sus objetivos financieros para final del año 2014.</w:t>
            </w:r>
          </w:p>
          <w:p>
            <w:pPr>
              <w:ind w:left="-284" w:right="-427"/>
              <w:jc w:val="both"/>
              <w:rPr>
                <w:rFonts/>
                <w:color w:val="262626" w:themeColor="text1" w:themeTint="D9"/>
              </w:rPr>
            </w:pPr>
            <w:r>
              <w:t>	El objetivo de Abengoa de ingresos se sitúa entre 7.900 M€ y 8.000 M€ con un EBITDA entre 1.350 M€ y 1.400 M€ para 2014, lo que representa un incremento del 8 % y del 12 % respectivamente, frente a 2013. Se espera un EBITDA corporativo entre 860 M€ y 885 M€. La compañía espera alcanzar un ratio de deuda neta corporativa a EBITDA de 2.0x en el 2014 y en adelante, reducir el capex corporativo a 450 M€ a partir de 2014 y generar flujo de caja libre positivo a nivel corporativo a partir de 2014.</w:t>
            </w:r>
          </w:p>
          <w:p>
            <w:pPr>
              <w:ind w:left="-284" w:right="-427"/>
              <w:jc w:val="both"/>
              <w:rPr>
                <w:rFonts/>
                <w:color w:val="262626" w:themeColor="text1" w:themeTint="D9"/>
              </w:rPr>
            </w:pPr>
            <w:r>
              <w:t>	Datos de la conferencia de presentación de resultados</w:t>
            </w:r>
          </w:p>
          <w:p>
            <w:pPr>
              <w:ind w:left="-284" w:right="-427"/>
              <w:jc w:val="both"/>
              <w:rPr>
                <w:rFonts/>
                <w:color w:val="262626" w:themeColor="text1" w:themeTint="D9"/>
              </w:rPr>
            </w:pPr>
            <w:r>
              <w:t>	Manuel Sánchez Ortega, consejero delegado de Abengoa, y Bárbara Zubiría, EVP de Mercados de Capitales y Relación con Inversores, ofrecerán una conferencia para presentar los resultados que se retransmitirá simultáneamente vía web a las 2:00 p.m. (hora de Madrid) y 8:00 a.m. (hora de Nueva York).</w:t>
            </w:r>
          </w:p>
          <w:p>
            <w:pPr>
              <w:ind w:left="-284" w:right="-427"/>
              <w:jc w:val="both"/>
              <w:rPr>
                <w:rFonts/>
                <w:color w:val="262626" w:themeColor="text1" w:themeTint="D9"/>
              </w:rPr>
            </w:pPr>
            <w:r>
              <w:t>	Para poder acceder a la conferencia, los participantes deberán marcar el número +34 91 789 51 19. Dicha conferencia se podrá seguir en directo a través de la página web de Abengoa (www.abengoa.com). Se recomienda acceder a la página al menos 15 minutos antes del comienzo de la misma para poder registrarse y descargar el software de audio necesario para escucharla.</w:t>
            </w:r>
          </w:p>
          <w:p>
            <w:pPr>
              <w:ind w:left="-284" w:right="-427"/>
              <w:jc w:val="both"/>
              <w:rPr>
                <w:rFonts/>
                <w:color w:val="262626" w:themeColor="text1" w:themeTint="D9"/>
              </w:rPr>
            </w:pPr>
            <w:r>
              <w:t>	La grabación de la conferencia estará disponible en la sección de Inversores de la página web de Abengoa unas dos horas después de que haya finalizado.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https://www.notasdeprensa.es/abengoa-anuncia-los-resultados-del-primer_1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