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URBAS consigue beneficios por 4,7 MM €, y una muy significativa reduccion de deuda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segundo semestre ha obtenido unos beneficios de 4,7 MM € a nivel consolidado, frente a unas pérdidas de 4,7 MM € en el mismo periodo del año anterior. La compañía ha logrado igualmente la cancelación de deudas por un importe de 27 MM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cierre provisional del ejercicio las cuentas publicadas por Urbas Grupo Financiero S.A. y su grupo consolidado, dentro de las obligaciones de publicación de información financiera periódica referidas al segundo semestre del ejercicio 2016 consolidan la positiva evolución de la Compañía, logrando obtener beneficios al igual que en el primer semestre del ejercicio, cambiando así la tendencia de los últimos ejercicios.</w:t>
            </w:r>
          </w:p>
          <w:p>
            <w:pPr>
              <w:ind w:left="-284" w:right="-427"/>
              <w:jc w:val="both"/>
              <w:rPr>
                <w:rFonts/>
                <w:color w:val="262626" w:themeColor="text1" w:themeTint="D9"/>
              </w:rPr>
            </w:pPr>
            <w:r>
              <w:t>Los efectos de la finalización del proceso de integración y la absorción de los activos de Aldira Inversiones Inmobiliarias, que provocó la incorporación de activos con una valoración cercana a 600 millones de euros, han permitido a la Compañía la reducción de los costes tanto operativos como financieros, lo cual, junto con la culminación de determinadas operaciones de refinanciación, han motivado la obtención de unos beneficios en el segundo semestre de 4,7 MM € a nivel consolidado de 1,8 MM € a nivel individual.</w:t>
            </w:r>
          </w:p>
          <w:p>
            <w:pPr>
              <w:ind w:left="-284" w:right="-427"/>
              <w:jc w:val="both"/>
              <w:rPr>
                <w:rFonts/>
                <w:color w:val="262626" w:themeColor="text1" w:themeTint="D9"/>
              </w:rPr>
            </w:pPr>
            <w:r>
              <w:t>Las incorporaciones descritas han supuesto un incremento muy notable en el volumen de los activos de la Compañía, así como en su diversificación, y además han dado lugar a una mejora realmente relevante en la estructura financiera. Con estas nuevas bases, se han generado los recursos necesarios para una mejor gestión de su actividad, lo cual ha permitido la obtención de los beneficios citados, que permiten al grupo seguir con su previsión inicial para relanzar su actividad de promoción y comercialización inmobiliaria, y la continuidad en su política de reducción de deuda, hecho que se corrobora con los datos obtenidos habiendo logrado la cancelación de deudas bancarias y no bancarias por un importe total de 27 MM €, lo que ha permitido una reducción de la deuda neta del grupo a fecha actual de 16 MM €, datos que impulsan el estudio y preparación de nuevas operaciones de refinanciación que provoquen una importante reducción de las cifras de endeudamiento durante los próximos meses</w:t>
            </w:r>
          </w:p>
          <w:p>
            <w:pPr>
              <w:ind w:left="-284" w:right="-427"/>
              <w:jc w:val="both"/>
              <w:rPr>
                <w:rFonts/>
                <w:color w:val="262626" w:themeColor="text1" w:themeTint="D9"/>
              </w:rPr>
            </w:pPr>
            <w:r>
              <w:t>El capital social del Grupo Urbas ascendía, al cierre del mes de diciembre, a 336,1MM €, ascendiendo a fecha de hoy a un total de 339, 9 MM€ debido a la ampliación de capital mediante compensación de créditos ejecutada en el presente ejercicio , con un valor contable de sus activos superior a los 409,9 MM€. Los fondos propios, ascienden a 30 de diciembre a 169,1 MM€</w:t>
            </w:r>
          </w:p>
          <w:p>
            <w:pPr>
              <w:ind w:left="-284" w:right="-427"/>
              <w:jc w:val="both"/>
              <w:rPr>
                <w:rFonts/>
                <w:color w:val="262626" w:themeColor="text1" w:themeTint="D9"/>
              </w:rPr>
            </w:pPr>
            <w:r>
              <w:t>www.grupourbas.com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 Marqueta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949247438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https://www.notasdeprensa.es/urbas-consigue-beneficios-por-47-mm-y-una-muy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