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startup leridana logra que las universidades catalanas ahorren un 10% en su factura de gas natural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operación, realizada por la startup Global Dragon Solutions, se ha convertido en la más importante a nivel estatal en el ámbito de las compras dinámicas de energía en el sector educativo. La plataforma de subastas profesionales, que ha desarrollado un software único en el mercado, ha sido seleccionada por el Consorcio de Servicios Universitarios de Catalunya por su robustez tecnológica y por la transparencia en el proceso de licitación electrónica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leridana Global Dragon Solutions ha conseguido que el Consorcio de Servicios Universitarios de Catalunya (CSUC) ahorre un 10% en su factura de gas natural. La operación supone en términos absolutos una reducción de 423.000 € para el año 2017.</w:t>
            </w:r>
          </w:p>
          <w:p>
            <w:pPr>
              <w:ind w:left="-284" w:right="-427"/>
              <w:jc w:val="both"/>
              <w:rPr>
                <w:rFonts/>
                <w:color w:val="262626" w:themeColor="text1" w:themeTint="D9"/>
              </w:rPr>
            </w:pPr>
            <w:r>
              <w:t>El CSUC reúne 23 instituciones, entre universidades y centros de investigación, que conforman el grupo de compra GAS CSUC-2017 y que cuentan con 354 puntos de suministro con un consumo anual de 144.668 MWh, distribuidos en alta y baja presión. Las operaciones de este grupo de compra estan consideradas las más importantes a nivel estatal en el ámbito de las compras dinámicas de energía en el sector educativo.</w:t>
            </w:r>
          </w:p>
          <w:p>
            <w:pPr>
              <w:ind w:left="-284" w:right="-427"/>
              <w:jc w:val="both"/>
              <w:rPr>
                <w:rFonts/>
                <w:color w:val="262626" w:themeColor="text1" w:themeTint="D9"/>
              </w:rPr>
            </w:pPr>
            <w:r>
              <w:t>El ahorro ha sido posible gracias a los servicios de asesoramiento y gestión en el proceso de compra conjunta de la plataforma Global Dragon Solutions, que ha aportado su experiencia en compras dinámicas y la selección de proveedores mediante la licitación electrónica. Además, Global Dragon ha facilitado más flexibilidad para que la oferta de compra conjunta se adaptara a las oportunidades del mercado.</w:t>
            </w:r>
          </w:p>
          <w:p>
            <w:pPr>
              <w:ind w:left="-284" w:right="-427"/>
              <w:jc w:val="both"/>
              <w:rPr>
                <w:rFonts/>
                <w:color w:val="262626" w:themeColor="text1" w:themeTint="D9"/>
              </w:rPr>
            </w:pPr>
            <w:r>
              <w:t>Software propio y fortaleza tecnológicaLa plataforma de subastas profesionales creada por Global Dragon Solutions es única en el mercado, ya que ha desarrollado un software propio que le permite no depender de otras empresas. La Directora de Operaciones de Global Dragon, Nohemi Airós, explica que “la robustez de nuestra plataforma es lo que ha hecho que el CSUC nos escoja para realizar la compra conjunta”. Además de la fortaleza tecnológica, la startup leridana es la única firma que aporta un certificado de trazabilidad de los datos, “lo que nos convierte en una herramienta muy transparente y competitiva”.</w:t>
            </w:r>
          </w:p>
          <w:p>
            <w:pPr>
              <w:ind w:left="-284" w:right="-427"/>
              <w:jc w:val="both"/>
              <w:rPr>
                <w:rFonts/>
                <w:color w:val="262626" w:themeColor="text1" w:themeTint="D9"/>
              </w:rPr>
            </w:pPr>
            <w:r>
              <w:t>Otro de los valores añadidos de la plataforma es que es la única de compras privadas formada por capital íntegramente catalán. Airós comenta que “las licitaciones electrónicas ofrecidas por Global Dragon Solutions permiten una selección de proveedores más transparente, garantizando la competencia entre las diferencias ofertas y la transparencia del proceso”. De esta manera, los participantes pueden concurrir a una licitación con las reglas definidas. Global Dragon es la única plataforma del Estado español que realiza la licitación electrónica seleccionando las ofertas según los parámetros preestablecidos por el cliente.</w:t>
            </w:r>
          </w:p>
          <w:p>
            <w:pPr>
              <w:ind w:left="-284" w:right="-427"/>
              <w:jc w:val="both"/>
              <w:rPr>
                <w:rFonts/>
                <w:color w:val="262626" w:themeColor="text1" w:themeTint="D9"/>
              </w:rPr>
            </w:pPr>
            <w:r>
              <w:t>En coordinación con el cliente, Global Dragon Solutions elabora un pliego de condiciones para fijar la calidad del suministro. Tras establecer un documento con las reglas de la compra dinámica, éste se envía a los participantes. Las subastas suelen tener una duración de 15 minutos y se pueden ampliar en franjas de 5 minutos adicionales si se producen mejoras durante los últimos 5. Las operaciones de subasta se pueden llegar a alargar entre 15 minutos y dos horas en función de la competencia y de los precios.</w:t>
            </w:r>
          </w:p>
          <w:p>
            <w:pPr>
              <w:ind w:left="-284" w:right="-427"/>
              <w:jc w:val="both"/>
              <w:rPr>
                <w:rFonts/>
                <w:color w:val="262626" w:themeColor="text1" w:themeTint="D9"/>
              </w:rPr>
            </w:pPr>
            <w:r>
              <w:t>Plataforma multiproductoGlobal Dragon Solutions es una plataforma on-line de promoción y gestión de subastas. Especializada en compras de energía eléctrica y gas, se dirige a todo tipo de sectores empresariales e institucionales y aborda cualquier tipo de servicio o productos (insumos), independientemente de la tipología del proveedor. La compañía también ha realizado compras de aceite de oliva y girasol para el grupo de supermercados Euromadi o de electricidad para el Instituto Tecnológico Hotelero de España, entre otras.</w:t>
            </w:r>
          </w:p>
          <w:p>
            <w:pPr>
              <w:ind w:left="-284" w:right="-427"/>
              <w:jc w:val="both"/>
              <w:rPr>
                <w:rFonts/>
                <w:color w:val="262626" w:themeColor="text1" w:themeTint="D9"/>
              </w:rPr>
            </w:pPr>
            <w:r>
              <w:t>Las compras dinámicas se efectúan a través de la plataforma Dragon Market Place, una sólida herramienta multiplataforma de promoción y gestión de subastas. La herramienta opera en todos los sistemas operativos y ordenadores, permite la configuración de diversas variables en la comparación y ofrece multiasistencia en los procesos de subasta.</w:t>
            </w:r>
          </w:p>
          <w:p>
            <w:pPr>
              <w:ind w:left="-284" w:right="-427"/>
              <w:jc w:val="both"/>
              <w:rPr>
                <w:rFonts/>
                <w:color w:val="262626" w:themeColor="text1" w:themeTint="D9"/>
              </w:rPr>
            </w:pPr>
            <w:r>
              <w:t>Compra colaborativaLa compra conjunta de gas natural es un trabajo colaborativo del CSUC, en el que se ha contado con el asesoramiento de los expertos en energía de BioQuat.</w:t>
            </w:r>
          </w:p>
          <w:p>
            <w:pPr>
              <w:ind w:left="-284" w:right="-427"/>
              <w:jc w:val="both"/>
              <w:rPr>
                <w:rFonts/>
                <w:color w:val="262626" w:themeColor="text1" w:themeTint="D9"/>
              </w:rPr>
            </w:pPr>
            <w:r>
              <w:t>Instituciones integrantes del grupo de compra:</w:t>
            </w:r>
          </w:p>
          <w:p>
            <w:pPr>
              <w:ind w:left="-284" w:right="-427"/>
              <w:jc w:val="both"/>
              <w:rPr>
                <w:rFonts/>
                <w:color w:val="262626" w:themeColor="text1" w:themeTint="D9"/>
              </w:rPr>
            </w:pPr>
            <w:r>
              <w:t>Universitat de Barcelona</w:t>
            </w:r>
          </w:p>
          <w:p>
            <w:pPr>
              <w:ind w:left="-284" w:right="-427"/>
              <w:jc w:val="both"/>
              <w:rPr>
                <w:rFonts/>
                <w:color w:val="262626" w:themeColor="text1" w:themeTint="D9"/>
              </w:rPr>
            </w:pPr>
            <w:r>
              <w:t>Universitat Autònoma de Barcelona</w:t>
            </w:r>
          </w:p>
          <w:p>
            <w:pPr>
              <w:ind w:left="-284" w:right="-427"/>
              <w:jc w:val="both"/>
              <w:rPr>
                <w:rFonts/>
                <w:color w:val="262626" w:themeColor="text1" w:themeTint="D9"/>
              </w:rPr>
            </w:pPr>
            <w:r>
              <w:t>Universitat Politècnica de Catalunya</w:t>
            </w:r>
          </w:p>
          <w:p>
            <w:pPr>
              <w:ind w:left="-284" w:right="-427"/>
              <w:jc w:val="both"/>
              <w:rPr>
                <w:rFonts/>
                <w:color w:val="262626" w:themeColor="text1" w:themeTint="D9"/>
              </w:rPr>
            </w:pPr>
            <w:r>
              <w:t>Universitat Pompeu Fabra</w:t>
            </w:r>
          </w:p>
          <w:p>
            <w:pPr>
              <w:ind w:left="-284" w:right="-427"/>
              <w:jc w:val="both"/>
              <w:rPr>
                <w:rFonts/>
                <w:color w:val="262626" w:themeColor="text1" w:themeTint="D9"/>
              </w:rPr>
            </w:pPr>
            <w:r>
              <w:t>Universitat de Lleida</w:t>
            </w:r>
          </w:p>
          <w:p>
            <w:pPr>
              <w:ind w:left="-284" w:right="-427"/>
              <w:jc w:val="both"/>
              <w:rPr>
                <w:rFonts/>
                <w:color w:val="262626" w:themeColor="text1" w:themeTint="D9"/>
              </w:rPr>
            </w:pPr>
            <w:r>
              <w:t>Universitat de Girona</w:t>
            </w:r>
          </w:p>
          <w:p>
            <w:pPr>
              <w:ind w:left="-284" w:right="-427"/>
              <w:jc w:val="both"/>
              <w:rPr>
                <w:rFonts/>
                <w:color w:val="262626" w:themeColor="text1" w:themeTint="D9"/>
              </w:rPr>
            </w:pPr>
            <w:r>
              <w:t>Universitat Rovira i Virgili</w:t>
            </w:r>
          </w:p>
          <w:p>
            <w:pPr>
              <w:ind w:left="-284" w:right="-427"/>
              <w:jc w:val="both"/>
              <w:rPr>
                <w:rFonts/>
                <w:color w:val="262626" w:themeColor="text1" w:themeTint="D9"/>
              </w:rPr>
            </w:pPr>
            <w:r>
              <w:t>Universitat Oberta de Catalunya</w:t>
            </w:r>
          </w:p>
          <w:p>
            <w:pPr>
              <w:ind w:left="-284" w:right="-427"/>
              <w:jc w:val="both"/>
              <w:rPr>
                <w:rFonts/>
                <w:color w:val="262626" w:themeColor="text1" w:themeTint="D9"/>
              </w:rPr>
            </w:pPr>
            <w:r>
              <w:t>Universitat de Vic-Universitat Central de Catalunya</w:t>
            </w:r>
          </w:p>
          <w:p>
            <w:pPr>
              <w:ind w:left="-284" w:right="-427"/>
              <w:jc w:val="both"/>
              <w:rPr>
                <w:rFonts/>
                <w:color w:val="262626" w:themeColor="text1" w:themeTint="D9"/>
              </w:rPr>
            </w:pPr>
            <w:r>
              <w:t>Universidad Complutense de Madrid</w:t>
            </w:r>
          </w:p>
          <w:p>
            <w:pPr>
              <w:ind w:left="-284" w:right="-427"/>
              <w:jc w:val="both"/>
              <w:rPr>
                <w:rFonts/>
                <w:color w:val="262626" w:themeColor="text1" w:themeTint="D9"/>
              </w:rPr>
            </w:pPr>
            <w:r>
              <w:t>Parc Científic i Tecnològic de Girona</w:t>
            </w:r>
          </w:p>
          <w:p>
            <w:pPr>
              <w:ind w:left="-284" w:right="-427"/>
              <w:jc w:val="both"/>
              <w:rPr>
                <w:rFonts/>
                <w:color w:val="262626" w:themeColor="text1" w:themeTint="D9"/>
              </w:rPr>
            </w:pPr>
            <w:r>
              <w:t>Parc de Recerca Biomèdica de Barcelona</w:t>
            </w:r>
          </w:p>
          <w:p>
            <w:pPr>
              <w:ind w:left="-284" w:right="-427"/>
              <w:jc w:val="both"/>
              <w:rPr>
                <w:rFonts/>
                <w:color w:val="262626" w:themeColor="text1" w:themeTint="D9"/>
              </w:rPr>
            </w:pPr>
            <w:r>
              <w:t>Centre de Recerca en Agrigenòmica</w:t>
            </w:r>
          </w:p>
          <w:p>
            <w:pPr>
              <w:ind w:left="-284" w:right="-427"/>
              <w:jc w:val="both"/>
              <w:rPr>
                <w:rFonts/>
                <w:color w:val="262626" w:themeColor="text1" w:themeTint="D9"/>
              </w:rPr>
            </w:pPr>
            <w:r>
              <w:t>Parc Científic i Tecnològic Agroalimentari de Lleida</w:t>
            </w:r>
          </w:p>
          <w:p>
            <w:pPr>
              <w:ind w:left="-284" w:right="-427"/>
              <w:jc w:val="both"/>
              <w:rPr>
                <w:rFonts/>
                <w:color w:val="262626" w:themeColor="text1" w:themeTint="D9"/>
              </w:rPr>
            </w:pPr>
            <w:r>
              <w:t>Fundació Universitat Autònoma de Barcelona</w:t>
            </w:r>
          </w:p>
          <w:p>
            <w:pPr>
              <w:ind w:left="-284" w:right="-427"/>
              <w:jc w:val="both"/>
              <w:rPr>
                <w:rFonts/>
                <w:color w:val="262626" w:themeColor="text1" w:themeTint="D9"/>
              </w:rPr>
            </w:pPr>
            <w:r>
              <w:t>Institut de Ciències Fotòniques</w:t>
            </w:r>
          </w:p>
          <w:p>
            <w:pPr>
              <w:ind w:left="-284" w:right="-427"/>
              <w:jc w:val="both"/>
              <w:rPr>
                <w:rFonts/>
                <w:color w:val="262626" w:themeColor="text1" w:themeTint="D9"/>
              </w:rPr>
            </w:pPr>
            <w:r>
              <w:t>Institut de Recerca i Tecnologia Agroalimentàries</w:t>
            </w:r>
          </w:p>
          <w:p>
            <w:pPr>
              <w:ind w:left="-284" w:right="-427"/>
              <w:jc w:val="both"/>
              <w:rPr>
                <w:rFonts/>
                <w:color w:val="262626" w:themeColor="text1" w:themeTint="D9"/>
              </w:rPr>
            </w:pPr>
            <w:r>
              <w:t>Col·legis Majors Sant Ramon Penyafort-Montserrat-Llull</w:t>
            </w:r>
          </w:p>
          <w:p>
            <w:pPr>
              <w:ind w:left="-284" w:right="-427"/>
              <w:jc w:val="both"/>
              <w:rPr>
                <w:rFonts/>
                <w:color w:val="262626" w:themeColor="text1" w:themeTint="D9"/>
              </w:rPr>
            </w:pPr>
            <w:r>
              <w:t>Col·legi Major Sant Jordi</w:t>
            </w:r>
          </w:p>
          <w:p>
            <w:pPr>
              <w:ind w:left="-284" w:right="-427"/>
              <w:jc w:val="both"/>
              <w:rPr>
                <w:rFonts/>
                <w:color w:val="262626" w:themeColor="text1" w:themeTint="D9"/>
              </w:rPr>
            </w:pPr>
            <w:r>
              <w:t>Parc Científic de Barcelona</w:t>
            </w:r>
          </w:p>
          <w:p>
            <w:pPr>
              <w:ind w:left="-284" w:right="-427"/>
              <w:jc w:val="both"/>
              <w:rPr>
                <w:rFonts/>
                <w:color w:val="262626" w:themeColor="text1" w:themeTint="D9"/>
              </w:rPr>
            </w:pPr>
            <w:r>
              <w:t>Vila Universitària UAB Campus</w:t>
            </w:r>
          </w:p>
          <w:p>
            <w:pPr>
              <w:ind w:left="-284" w:right="-427"/>
              <w:jc w:val="both"/>
              <w:rPr>
                <w:rFonts/>
                <w:color w:val="262626" w:themeColor="text1" w:themeTint="D9"/>
              </w:rPr>
            </w:pPr>
            <w:r>
              <w:t>Institut Químic de Sarrià-URL</w:t>
            </w:r>
          </w:p>
          <w:p>
            <w:pPr>
              <w:ind w:left="-284" w:right="-427"/>
              <w:jc w:val="both"/>
              <w:rPr>
                <w:rFonts/>
                <w:color w:val="262626" w:themeColor="text1" w:themeTint="D9"/>
              </w:rPr>
            </w:pPr>
            <w:r>
              <w:t>Institut Nacional d and #39;Educació Física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 Palau</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676 638 598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https://www.notasdeprensa.es/una-startup-leridana-logra-que-las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Cataluña Ecología Emprendedores Universidades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