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se deshace del negocio eólico marino tras vendérselo al Reino Unido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238 millones de euros les ha costado a los ingleses adquirir el negocio eólico de la compañía Repsol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Repsol ha acordado la venta de su negocio eólico en el Reino Unido al grupo chino SDIC Power por 238 millones de euros. La operación genera una plusvalía después de impuestos de 109 millones de euros.</w:t>
            </w:r>
          </w:p>
          <w:p>
            <w:pPr>
              <w:ind w:left="-284" w:right="-427"/>
              <w:jc w:val="both"/>
              <w:rPr>
                <w:rFonts/>
                <w:color w:val="262626" w:themeColor="text1" w:themeTint="D9"/>
              </w:rPr>
            </w:pPr>
            <w:r>
              <w:t>La venta incluye el proyecto de Inch Cape (100%) y la participación con la que Repsol contaba en el proyecto Beatrice (25%), ambos ubicados en la costa este de Escocia. Esta operación se enmarca dentro de la estrategia del Grupo de desprenderse de activos no estratégicos. </w:t>
            </w:r>
          </w:p>
          <w:p>
            <w:pPr>
              <w:ind w:left="-284" w:right="-427"/>
              <w:jc w:val="both"/>
              <w:rPr>
                <w:rFonts/>
                <w:color w:val="262626" w:themeColor="text1" w:themeTint="D9"/>
              </w:rPr>
            </w:pPr>
            <w:r>
              <w:t>La gestión activa del portafolio es uno de los aspectos clave del Plan Estratégico 2016-2020, en el que la compañía definió un cambio de foco hacia la creación de valor tras el crecimiento alcanzado en los últimos años, que culminó con la adquisición de Talisman Energy. La flexibilidad, fortaleza y adaptabilidad de la cartera de negocios de Repsol permitirá obtener 6.200 millones de euros por desinversiones en activos no estratégicos durante el periodo 2016-2020.</w:t>
            </w:r>
          </w:p>
          <w:p>
            <w:pPr>
              <w:ind w:left="-284" w:right="-427"/>
              <w:jc w:val="both"/>
              <w:rPr>
                <w:rFonts/>
                <w:color w:val="262626" w:themeColor="text1" w:themeTint="D9"/>
              </w:rPr>
            </w:pPr>
            <w:r>
              <w:t>Con este acuerdo, Repsol suma en los últimos cinco meses desinversiones por valor de más de 2.500 millones de euros. La compañía prevé completar la venta de los activos eólicos de Reino Unido durante el primer semestre de 2016, una vez cumplidas las condiciones habituales en este tipo de contratos y obtenidas las correspondientes autorizaciones regulatorias.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https://www.notasdeprensa.es/repsol-se-deshace-del-negocio-eolico-marino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