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aumenta sus ingresos un 50% en el tercer trimestre respecto al Q3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nueve primeros meses del año , los ingresos alcanzaron los 304,9 millones de dólares, con un aumento del 29% en comparación con 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(www.plus500.es), la plataforma online de negociación de CFDs a nivel global, ha anunciado unos ingresos record durante el tercer trimestre del año. El Comité de Dirección considera que la compañía está por encima de las expectativas de mercado para el año entero.</w:t>
            </w:r>
          </w:p>
          <w:p>
            <w:pPr>
              <w:ind w:left="-284" w:right="-427"/>
              <w:jc w:val="both"/>
              <w:rPr>
                <w:rFonts/>
                <w:color w:val="262626" w:themeColor="text1" w:themeTint="D9"/>
              </w:rPr>
            </w:pPr>
            <w:r>
              <w:t>En el tercer trimestre de 2017, los ingresos fueron de 116,5 millones de dólares, con un aumento del 50% en comparación con el mismo periodo del año anterior. Durante los nueve primeros meses del año -terminados el 30 de septiembre de 2017, los ingresos alcanzaron los 304,9 millones de dólares, con un aumento del 29% en comparación con el año pasado.</w:t>
            </w:r>
          </w:p>
          <w:p>
            <w:pPr>
              <w:ind w:left="-284" w:right="-427"/>
              <w:jc w:val="both"/>
              <w:rPr>
                <w:rFonts/>
                <w:color w:val="262626" w:themeColor="text1" w:themeTint="D9"/>
              </w:rPr>
            </w:pPr>
            <w:r>
              <w:t>Visión general sobre el tradingPlus500 ha anunciado, otra vez, cifras récord de nuevos clientes durante el trimestre (un aumento del 69% respecto al tercer trimestre de 2016) y un número récord de clientes activos (aumento del 35% respecto del tercer trimestre de 2016). La eficiente actividad de marketing y las iniciativas de retención de la compañía, han conducido a un mayor número de nuevos registros, reactivaciones y altos niveles de trading de clientes durante el trimestre. Además de el gran impulso que ha supuesto el trading con nuevos instrumentos financieros y los intercambios.</w:t>
            </w:r>
          </w:p>
          <w:p>
            <w:pPr>
              <w:ind w:left="-284" w:right="-427"/>
              <w:jc w:val="both"/>
              <w:rPr>
                <w:rFonts/>
                <w:color w:val="262626" w:themeColor="text1" w:themeTint="D9"/>
              </w:rPr>
            </w:pPr>
            <w:r>
              <w:t>En los primeros nueve meses de 2017, el ARPU ha aumentado manteniéndose en 1.905 dólares en comparación con los 1.799 dólares en el mismo período del año pasado, lo que refleja el progreso a la hora de agregar clientes de mayor valor.</w:t>
            </w:r>
          </w:p>
          <w:p>
            <w:pPr>
              <w:ind w:left="-284" w:right="-427"/>
              <w:jc w:val="both"/>
              <w:rPr>
                <w:rFonts/>
                <w:color w:val="262626" w:themeColor="text1" w:themeTint="D9"/>
              </w:rPr>
            </w:pPr>
            <w:r>
              <w:t>El AUAC cayó a un nivel de 689 dólares en el tercer trimestre de 2017 comparado con los 1.300 dólares de 2016 y los 771 dólares durante los nueve primeros meses de 2017. Esta reducción refleja las buenas estrategias de mercado implantadas para adquirir nuevos clientes. Además, ha supuesto un factor importante para mejorar el EBITDA, el cual aumentó de $33 millones en el tercer trimestre de 2016 a, aproximadamente, $70 millones en el tercer trimestre de 2017. El margen EBITDA pasó del 43% en el tercer trimestre de 2016 al 60% en el tercer trimestre de 2017. El beneficio neto del período finalizado el 30 de septiembre de 2017 fue de 143,2 millones de dólares, un aumento del 103% en comparación con los 70,6 millones de dólares alcanzados durante el mismo periodo en 2016.</w:t>
            </w:r>
          </w:p>
          <w:p>
            <w:pPr>
              <w:ind w:left="-284" w:right="-427"/>
              <w:jc w:val="both"/>
              <w:rPr>
                <w:rFonts/>
                <w:color w:val="262626" w:themeColor="text1" w:themeTint="D9"/>
              </w:rPr>
            </w:pPr>
            <w:r>
              <w:t>Los saldos de efectivo de Plus500 aumentaron de 117 millones de dólares en los 9 primeros meses de 2016, a 203,9 millones de dólares en el mismo periodo de 2017.</w:t>
            </w:r>
          </w:p>
          <w:p>
            <w:pPr>
              <w:ind w:left="-284" w:right="-427"/>
              <w:jc w:val="both"/>
              <w:rPr>
                <w:rFonts/>
                <w:color w:val="262626" w:themeColor="text1" w:themeTint="D9"/>
              </w:rPr>
            </w:pPr>
            <w:r>
              <w:t>Plus500 continúa invirtiendo en el cumplimiento de los requisitos reglamentarios y realizando los ajustes necesarios a sus operaciones para cumplir con las nuevas obligaciones. Plus500 y sus subsidiarias están ajustadas por seis reguladores diferentes: FCA en el Reino Unido, ASIC en Australia, CySEC en Chipre, ISA en Israel, FMA en Nueva Zelanda y FSB en Sudáfrica.</w:t>
            </w:r>
          </w:p>
          <w:p>
            <w:pPr>
              <w:ind w:left="-284" w:right="-427"/>
              <w:jc w:val="both"/>
              <w:rPr>
                <w:rFonts/>
                <w:color w:val="262626" w:themeColor="text1" w:themeTint="D9"/>
              </w:rPr>
            </w:pPr>
            <w:r>
              <w:t>El programa de recompra de acciones de 27,21 millones de dólares anunciado el 7 de agosto de 2017 permanecerá abierto hasta el 1 de febrero de 2018. En la medida en que la recompra no se haya agotado el 1 de febrero de 2018, el saldo se transferirá al rendimiento futuro de los accionistas como parte de la relación de pago.</w:t>
            </w:r>
          </w:p>
          <w:p>
            <w:pPr>
              <w:ind w:left="-284" w:right="-427"/>
              <w:jc w:val="both"/>
              <w:rPr>
                <w:rFonts/>
                <w:color w:val="262626" w:themeColor="text1" w:themeTint="D9"/>
              </w:rPr>
            </w:pPr>
            <w:r>
              <w:t>Panorama</w:t>
            </w:r>
          </w:p>
          <w:p>
            <w:pPr>
              <w:ind w:left="-284" w:right="-427"/>
              <w:jc w:val="both"/>
              <w:rPr>
                <w:rFonts/>
                <w:color w:val="262626" w:themeColor="text1" w:themeTint="D9"/>
              </w:rPr>
            </w:pPr>
            <w:r>
              <w:t>De cara al año 2018, el Consejo de Dirección considera que Plus500 está bien posicionada para aprovechar nuevas oportunidades de crecimiento como nuevas licencias e instrumentos, al tiempo que mantiene su ventaja competitiva gracias a su estructura de costes ajustada y liderazgo tecnológico. Además, se espera que estos factores ayuden a mitigar el impacto de cualquier cambio regulatorio.</w:t>
            </w:r>
          </w:p>
          <w:p>
            <w:pPr>
              <w:ind w:left="-284" w:right="-427"/>
              <w:jc w:val="both"/>
              <w:rPr>
                <w:rFonts/>
                <w:color w:val="262626" w:themeColor="text1" w:themeTint="D9"/>
              </w:rPr>
            </w:pPr>
            <w:r>
              <w:t>Plus500 ha atraído a un número récord de nuevos clientes y clientes activos en lo que va de año a través de una inversión de marketing eficiente y a iniciativas de retención, brindando un gran impulso para afrontar el último trimestre de 2017 y el principio de 2018.</w:t>
            </w:r>
          </w:p>
          <w:p>
            <w:pPr>
              <w:ind w:left="-284" w:right="-427"/>
              <w:jc w:val="both"/>
              <w:rPr>
                <w:rFonts/>
                <w:color w:val="262626" w:themeColor="text1" w:themeTint="D9"/>
              </w:rPr>
            </w:pPr>
            <w:r>
              <w:t>En consecuencia, el Comité de Dirección cree que la compañía está camino de mostrar unos resultados por encima de las expectativas del mercado para el año entero.</w:t>
            </w:r>
          </w:p>
          <w:p>
            <w:pPr>
              <w:ind w:left="-284" w:right="-427"/>
              <w:jc w:val="both"/>
              <w:rPr>
                <w:rFonts/>
                <w:color w:val="262626" w:themeColor="text1" w:themeTint="D9"/>
              </w:rPr>
            </w:pPr>
            <w:r>
              <w:t>En palabras de Asaf Elimelech, CEO de Plus500:  and #39;Nuestros resultados del tercer trimestre muestran la línea ascendente de los primeros seis meses del año, logrando un record de ingresos y en número de clientes nuevos y activos. Con este gran impulso, estamos camino de lograr unos resultados que superarán de largo nuestras expectativas del año and #39;.</w:t>
            </w:r>
          </w:p>
          <w:p>
            <w:pPr>
              <w:ind w:left="-284" w:right="-427"/>
              <w:jc w:val="both"/>
              <w:rPr>
                <w:rFonts/>
                <w:color w:val="262626" w:themeColor="text1" w:themeTint="D9"/>
              </w:rPr>
            </w:pPr>
            <w:r>
              <w:t>La información contenida en este anuncio es considerada por Plus500 como una información privilegiada según lo estipulado en el Reglamento de Abuso de Mercado (MAR). A partir de la publicación de este anuncio a través del Servicio de Información Regulatoria (RIS), esta información ahora se considera de dominio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https://www.notasdeprensa.es/plus500-aumenta-sus-ingresos-un-50-en-el_1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