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NPG se querella contra Schneider España de Informática,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español de electrónica de consumo, se querella contra la empresa Schneider España de Informática S.A. por tratar esta última de hacer cómplice a NPG en un presunto delito contra la propiedad industrial y estafa.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Schneider España de Informática encargó a NPG un pedido de televisores bajo la marca de la multinacional francesa Schneider Electric, de la cual no era propietaria, tal y como se recoge en el informe del reconocido despacho de detectives Monopol número 11.270, de fecha 22 de septiembre de 2014.</w:t>
            </w:r>
          </w:p>
          <w:p>
            <w:pPr>
              <w:ind w:left="-284" w:right="-427"/>
              <w:jc w:val="both"/>
              <w:rPr>
                <w:rFonts/>
                <w:color w:val="262626" w:themeColor="text1" w:themeTint="D9"/>
              </w:rPr>
            </w:pPr>
            <w:r>
              <w:t>	Estando NPG en proceso de fabricación de los productos, detectó para su asombro, que Schneider España de Informática, S.A. no era propietaria de la marca que comercializaba. Tras realizar una investigación más detallada, se descubrió que esta empresa no fue nunca propietaria de la misma, siéndole expresamente denegada en varias ocasiones por el titular, la multinacional francesa Schneider Electric S.A., desde el año 2004 hasta el 27 de julio de 2011, y ratificado posteriormente en sentencia del TSJ de Madrid.</w:t>
            </w:r>
          </w:p>
          <w:p>
            <w:pPr>
              <w:ind w:left="-284" w:right="-427"/>
              <w:jc w:val="both"/>
              <w:rPr>
                <w:rFonts/>
                <w:color w:val="262626" w:themeColor="text1" w:themeTint="D9"/>
              </w:rPr>
            </w:pPr>
            <w:r>
              <w:t>	Más información sobre la titularidad de la marca:  </w:t>
            </w:r>
          </w:p>
          <w:p>
            <w:pPr>
              <w:ind w:left="-284" w:right="-427"/>
              <w:jc w:val="both"/>
              <w:rPr>
                <w:rFonts/>
                <w:color w:val="262626" w:themeColor="text1" w:themeTint="D9"/>
              </w:rPr>
            </w:pPr>
            <w:r>
              <w:t>	Schneider Electric, S.A.: http://www.schneider-electric.com/site/home/index.cfm/es/</w:t>
            </w:r>
          </w:p>
          <w:p>
            <w:pPr>
              <w:ind w:left="-284" w:right="-427"/>
              <w:jc w:val="both"/>
              <w:rPr>
                <w:rFonts/>
                <w:color w:val="262626" w:themeColor="text1" w:themeTint="D9"/>
              </w:rPr>
            </w:pPr>
            <w:r>
              <w:t>	Algunos ejemplos de la marca Schneider registrada por su titular, Schneider Electric, S.A., en la OAMI:</w:t>
            </w:r>
          </w:p>
          <w:p>
            <w:pPr>
              <w:ind w:left="-284" w:right="-427"/>
              <w:jc w:val="both"/>
              <w:rPr>
                <w:rFonts/>
                <w:color w:val="262626" w:themeColor="text1" w:themeTint="D9"/>
              </w:rPr>
            </w:pPr>
            <w:r>
              <w:t>	https://oami.europa.eu/eSearch/#basic/1+1+1+1/9087008	https://oami.europa.eu/eSearch/#basic/1+1+1+1/3026549</w:t>
            </w:r>
          </w:p>
          <w:p>
            <w:pPr>
              <w:ind w:left="-284" w:right="-427"/>
              <w:jc w:val="both"/>
              <w:rPr>
                <w:rFonts/>
                <w:color w:val="262626" w:themeColor="text1" w:themeTint="D9"/>
              </w:rPr>
            </w:pPr>
            <w:r>
              <w:t>	Solicitudes de marca denegadas a Schneider España de Informática:</w:t>
            </w:r>
          </w:p>
          <w:p>
            <w:pPr>
              <w:ind w:left="-284" w:right="-427"/>
              <w:jc w:val="both"/>
              <w:rPr>
                <w:rFonts/>
                <w:color w:val="262626" w:themeColor="text1" w:themeTint="D9"/>
              </w:rPr>
            </w:pPr>
            <w:r>
              <w:t>	Oficina Española de Patentes y Marcas http://sitadex.oepm.es/SitadexWS/ , números de marca nacional 2547972, 2547973, 2956365 y 2956553.</w:t>
            </w:r>
          </w:p>
          <w:p>
            <w:pPr>
              <w:ind w:left="-284" w:right="-427"/>
              <w:jc w:val="both"/>
              <w:rPr>
                <w:rFonts/>
                <w:color w:val="262626" w:themeColor="text1" w:themeTint="D9"/>
              </w:rPr>
            </w:pPr>
            <w:r>
              <w:t>	Schneider Trends in Motion: denegada recientemente el 7 de julio de 2014. Oficina Española de Patentes y Marcas http://sitadex.oepm.es/SitadexWS/ , número de marca nacional 3107521.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NPG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https://www.notasdeprensa.es/npg-se-querella-contra-schneider-espana-de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