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MytripleA supera los 89M€ en préstamos a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2019 el portal de acceso al crowdlending ha financiado 41,2M€ en préstamos y factoring a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de acceso MytripleA ha cerrado el ejercicio 2019 con un volumen acumulado de más de 89M€ para 1.864 proyectos empresariales desde el inicio de su actividad en 2014. En 2019, MytripleA intermedió 41.2M€ casi duplicando los 27.1M€ prestados en 2018.</w:t>
            </w:r>
          </w:p>
          <w:p>
            <w:pPr>
              <w:ind w:left="-284" w:right="-427"/>
              <w:jc w:val="both"/>
              <w:rPr>
                <w:rFonts/>
                <w:color w:val="262626" w:themeColor="text1" w:themeTint="D9"/>
              </w:rPr>
            </w:pPr>
            <w:r>
              <w:t>El portal de acceso al crowdlending, líder en España, ya cuenta con más de 5.500 inversores dados de alta en su plataforma para financiar empresas, siendo Madrid y Cataluña las comunidades autónomas con mayor número de inversores. Hasta el cierre del ejercicio de este año, los inversores han obtenido más de 1.4M€ de intereses. Las rentabilidades medias de cada producto de inversión durante 2019 han sido 5,19% para las inversiones en préstamos de riesgo medido, 1,98% para préstamos garantizados por SGR y 4,62% en la inversión en factoring. Los inversores pueden diversificar su cartera en estos tres productos en función de su nivel de riesgo e invertir desde una cantidad mínima de solo 50€.</w:t>
            </w:r>
          </w:p>
          <w:p>
            <w:pPr>
              <w:ind w:left="-284" w:right="-427"/>
              <w:jc w:val="both"/>
              <w:rPr>
                <w:rFonts/>
                <w:color w:val="262626" w:themeColor="text1" w:themeTint="D9"/>
              </w:rPr>
            </w:pPr>
            <w:r>
              <w:t>Principales hitos en 2019En 2019, MytripleA ha conseguido varios hitos que confirman el crecimiento sostenido y la buena evolución del crowdlending en España. El mes con mayor volumen mensual financiado en MytripleA fue julio con un volumen mensual de 6.1M €. En el pasado mes de diciembre, se financió el mayor número de facturas en un mes, 105 facturas. En el producto de préstamos, el mayor volumen de financiación mensual fue alcanzado en junio, superando los 2.7 M€.</w:t>
            </w:r>
          </w:p>
          <w:p>
            <w:pPr>
              <w:ind w:left="-284" w:right="-427"/>
              <w:jc w:val="both"/>
              <w:rPr>
                <w:rFonts/>
                <w:color w:val="262626" w:themeColor="text1" w:themeTint="D9"/>
              </w:rPr>
            </w:pPr>
            <w:r>
              <w:t>El importe medio de los préstamos se ha incrementado respecto al año anterior, en 2019 el ticket medio supera los 83.000€ mientras que en 2018 el importe medio de los préstamos superaban 81.000€.</w:t>
            </w:r>
          </w:p>
          <w:p>
            <w:pPr>
              <w:ind w:left="-284" w:right="-427"/>
              <w:jc w:val="both"/>
              <w:rPr>
                <w:rFonts/>
                <w:color w:val="262626" w:themeColor="text1" w:themeTint="D9"/>
              </w:rPr>
            </w:pPr>
            <w:r>
              <w:t>El factoringEn febrero de 2018, MytripleA lanzó el producto de crowdfactoring, una modalidad de factoring por crowdlending, a través de la cual empresas españolas adelantan el cobro de las facturas de sus clientes mediante la aportación de múltiples inversores particulares y profesionales que obtienen una rentabilidad a cambio. En 2018, MytripleA financió a través de este producto un volumen de más de 3,2M de euros. Durante el pasado año, este volumen tuvo un incremento interanual de 270%, hasta superar los 12,1M de euros con un total de 801 facturas financiadas.</w:t>
            </w:r>
          </w:p>
          <w:p>
            <w:pPr>
              <w:ind w:left="-284" w:right="-427"/>
              <w:jc w:val="both"/>
              <w:rPr>
                <w:rFonts/>
                <w:color w:val="262626" w:themeColor="text1" w:themeTint="D9"/>
              </w:rPr>
            </w:pPr>
            <w:r>
              <w:t>El crowdlending continúa incrementando su volumen de financiación e inversión alternativa. Cada vez más empresas apuestan por este instrumento de financiación a la vez que un mayor número de inversores consiguen una rentabilidad atractiva por su dinero.</w:t>
            </w:r>
          </w:p>
          <w:p>
            <w:pPr>
              <w:ind w:left="-284" w:right="-427"/>
              <w:jc w:val="both"/>
              <w:rPr>
                <w:rFonts/>
                <w:color w:val="262626" w:themeColor="text1" w:themeTint="D9"/>
              </w:rPr>
            </w:pPr>
            <w:r>
              <w:t>Qué es MytripleAMytripleA es el portal líder de acceso al crowdlending. A través de www.mytriplea.com las empresas encuentran la financiación que necesitan para su negocio y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919049990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https://www.notasdeprensa.es/mytriplea-supera-los-89m-en-prestamos-a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