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tendrá presencia internacional en el 'Biofach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Internacional de productos ecológicos más importante, un evento que tendrá lugar del 15 al 18 de febrero en Núremberg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Agua, Agricultura y Medio Ambiente, Adela Martínez-Cachá, anunció hoy que la Región de Murcia "tendrá por primera vez presencia institucional en ‘Biofach 2017’, la Feria Internacional de productos ecológicos más importante", un evento que tendrá lugar del 15 al 18 de febrero en Núremberg (Alemania).</w:t>
            </w:r>
          </w:p>
          <w:p>
            <w:pPr>
              <w:ind w:left="-284" w:right="-427"/>
              <w:jc w:val="both"/>
              <w:rPr>
                <w:rFonts/>
                <w:color w:val="262626" w:themeColor="text1" w:themeTint="D9"/>
              </w:rPr>
            </w:pPr>
            <w:r>
              <w:t>"La Consejería contará con un stand propio para dar a conocer a Murcia como una de las regiones con más superficie agraria útil cultivada a nivel europeo", señaló Martínez-Cachá</w:t>
            </w:r>
          </w:p>
          <w:p>
            <w:pPr>
              <w:ind w:left="-284" w:right="-427"/>
              <w:jc w:val="both"/>
              <w:rPr>
                <w:rFonts/>
                <w:color w:val="262626" w:themeColor="text1" w:themeTint="D9"/>
              </w:rPr>
            </w:pPr>
            <w:r>
              <w:t>La titular de Agua, Agricultura y Medio Ambiente, que se reunió esta mañana con representantes del Consejo Regulador de Agricultura Ecológica de la Región de Murcia (CAERM) para hacer balance del año, destacó que "el Gobierno regional cumple con sus compromisos y tiene a la Agricultura ecológica como uno de los objetivos de la legislatura, y gracias a ello el cien por cien de los agricultores que han solicitado la línea de ayuda recibirán subvención".</w:t>
            </w:r>
          </w:p>
          <w:p>
            <w:pPr>
              <w:ind w:left="-284" w:right="-427"/>
              <w:jc w:val="both"/>
              <w:rPr>
                <w:rFonts/>
                <w:color w:val="262626" w:themeColor="text1" w:themeTint="D9"/>
              </w:rPr>
            </w:pPr>
            <w:r>
              <w:t>La Región de Murcia cuenta con un 26 por ciento de la superficie agraria útil dedicada a la Agricultura Ecológica, "lo que nos convierte a nivel europeo en la región con mayor superficie de este tipo de producción", indicó Martínez-Cachá, con unas 80.000 hectáreas. Por cultivos, destacan los herbáceos, con un total de 26.500 hectáreas y los cultivos leñosos, con 51.188, fundamentalmente frutos secos, viñedo y olivar.</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https://www.notasdeprensa.es/murcia-tendra-presencia-internacional-en-el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