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28/08/2017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demandas de disolución matrimonial continúan al alza en 2017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Según los datos hechos públicos por el Consejo General del Poder Judicial, las rupturas de matrimonios mantienen su tendencia alcista en el comienzo de este año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números no engañan. En España cada vez se divorcian más y más parejas. Se trata de una tendencia al alza que mantiene nuestro país desde hace bastantes años. Pese a que son muchas las causas que pueden llevar a un matrimonio hasta este punto, para Natalia Queralt Urgoiti, abogada especializada en familia de Queralt Abogados, “la entrada en vigor del divorcio exprés supuso una ruptura con todo lo anterior”.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Básicamente se trata del abaratamiento de costes y de la reducción de plazos para ciertos casos de divorcio y separación matrimonial. Este hecho ha conseguido que en los últimos años, el número de desuniones de parejas no haya dejado de crecer y crecer.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según los datos publicados por el Consejo General del Poder Judicial, las demandas de disolución matrimonial aumentaron un 4,8% durante el primer trimestre del 2017, último con datos completos y hechos público a través de este organismo.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total, durante estos primeros tres meses del año se alcanzaron las 31.694 demandas de disolución, concepto que engloba tanto las separaciones como los divorcios.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Natalia Queralt Urgoiti, de Queralt Abogados, resulta “curioso” que la mayor subida se registró en los “divorcios contenciosos, que subieron un 8,4%”. Según los datos del CGPJ, esta modalidad de disolución matrimonial pasó de 11.699 a 12.679 en el mismo trimestre de años consecutivos.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llamado divorcio exprés o consensuado alcanzó las 17.483 demandas totales, manteniéndose como la alternativa más utilizada por parte de los matrimonios que desean poner punto y final a su convivencia juntos, y creciendo un 2,6% con respecto al mismo periodo de 2016.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las separaciones también aumentaron en el primer trimestre de 2017, aunque su volumen total sigue estando demasiado lejos con respecto a los divorcios. Las consensuadas alcanzaron las 1.041 demandas, con un aumento del 2,4% con respecto al mismo periodo del año anterior. Por su parte, las separaciones no consensuadas crecieron también un 2,7% alcanzando un total de 491.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última modalidad de disolución matrimonial, la nulidad, también tuvo un mínimo repunte durante el primer trimestre de 2017, llegando a las 41.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y según Natalia Queralt Urgoiti de Queralt Abogados, “todos los procedimientos presentaron importantes incrementos, incluso los de modificación de medidas matrimoniales y no matrimoniales”.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Ruben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https://www.notasdeprensa.es/las-demandas-de-disolucion-matrimonial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