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Gandia el 17/07/2017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Comunidad Valenciana espera beneficios del auge del turismo MICE estos próximos años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turismo MICE (meetings, incentives, conventions and events) es uno de los productos considerados estratégicos para el sector turístico de la Comunitat Valenciana que se encuentra en fase de consolidación, tal y como refleja el Plan Estratégico Global de la Comunitat 2010-2020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España y en gran medida la Comunidad Valenciana esperan beneficiarse del auge del turismo de reuniones y congresos y de los viajes de incentivo que llevan a cabo muchas empresas para vincular más a sus empleados con la compañía y de las crisis sociales y políticas en otros países, según la Oficina de Turismo Española en Fráncfort.</w:t></w:r></w:p><w:p><w:pPr><w:ind w:left="-284" w:right="-427"/>	<w:jc w:val="both"/><w:rPr><w:rFonts/><w:color w:val="262626" w:themeColor="text1" w:themeTint="D9"/></w:rPr></w:pPr><w:r><w:t>Estos últimos años JOBA Eventos se ha especializado en la organización de eventos corporativos e incentivos de empresa relacionados con el sector MICE (en español Encuentros, Incentivos, Conferencias y Ferias) y como DMC (destination management company) y agencia receptiva organizando y produciendo íntegramente congresos, conferencias, ferias, convenciones, reuniones de trabajo, lanzamientos de productos y marcas, btl, street marketing, incentivos de empresa mediante actividades de team building, experiencias y corporate wellnes, así como actividades de formación y motivación empresarial como talleres de creatividad e innovación, coaching, mentoring y técnicas de negociación y venta, entre otros, en la Comunidad Valenciana (Valencia, Alicante y Castellón) en particular y en toda España en general.</w:t></w:r></w:p><w:p><w:pPr><w:ind w:left="-284" w:right="-427"/>	<w:jc w:val="both"/><w:rPr><w:rFonts/><w:color w:val="262626" w:themeColor="text1" w:themeTint="D9"/></w:rPr></w:pPr><w:r><w:t>La empresa dispone de los profesionales más cualificados, de los mejores y más avanzados medios técnicos y de un amplio catálogo de venues (emplazamientos y lugares singulares) como hoteles, fincas, bodegas, monasterios, edificios históricos, locales, salas de reuniones, salas de fiesta o restaurantes para que las empresas realicen su evento o incentivo corporativo en los lugares idóneos, aportando un gran valor para los asistentes y un gran retorno para las empresas.</w:t></w:r></w:p><w:p><w:pPr><w:ind w:left="-284" w:right="-427"/>	<w:jc w:val="both"/><w:rPr><w:rFonts/><w:color w:val="262626" w:themeColor="text1" w:themeTint="D9"/></w:rPr></w:pPr><w:r><w:t>Según Juan Bta Artes Usero CEO  and  Cofundador de JOBA Eventos, "El sector MICE en España y en la Comunidad Valenciana sigue en continuo crecimiento y ello deja entrever que tendrá una evolución muy positiva de cara a los años venideros. En concreto la empresa que gestiona ha logrado aumentar su facturación respecto al año pasado gracias a las reuniones y viajes de incentivos organizados y espera en el 2018 organizar un tercio más de eventos que el año pasado."</w:t></w:r></w:p><w:p><w:pPr><w:ind w:left="-284" w:right="-427"/>	<w:jc w:val="both"/><w:rPr><w:rFonts/><w:color w:val="262626" w:themeColor="text1" w:themeTint="D9"/></w:rPr></w:pPr><w:r><w:t>Los eventos creados y organizados por JOBA Eventos se diferencian por la innovación y la creatividad y por la utilización de nuevas tecnologías audiovisuales, como el videomapping, la realidad virtual, la proyección interactiva y la holografía, en presentaciones de productos y marcas, publicidad y marketing, eventos corporativos, eventos deportivos, en televisión y cinematografía. Y como no, por la aplicación de estas tecnologías en novedosas estrategias y acciones de social media engagement para los eventos.</w:t></w:r></w:p><w:p><w:pPr><w:ind w:left="-284" w:right="-427"/>	<w:jc w:val="both"/><w:rPr><w:rFonts/><w:color w:val="262626" w:themeColor="text1" w:themeTint="D9"/></w:rPr></w:pPr><w:r><w:t>Como ejemplo, JOBA Eventos estuvo presente a la fiesta del treinta aniversario del Valencia Basket con una de sus especialidades: un espectacular videomapping proyectado por primera vez sobre una cancha de baloncesto en la Comunidad Valenciana.</w:t></w:r></w:p><w:p><w:pPr><w:ind w:left="-284" w:right="-427"/>	<w:jc w:val="both"/><w:rPr><w:rFonts/><w:color w:val="262626" w:themeColor="text1" w:themeTint="D9"/></w:rPr></w:pPr><w:r><w:t>Acerca de:JOBA EVENTOS SLProduct Manager Business: Juan Bta Artés UseroProduct Manager Business: Jose Maria Felipe RodrigoE-mail: info@jobaeventos.comTelf: +34 615155780 / +34 960094903Web: jobaeventos.com</w:t></w:r></w:p><w:p><w:pPr><w:ind w:left="-284" w:right="-427"/>	<w:jc w:val="both"/><w:rPr><w:rFonts/><w:color w:val="262626" w:themeColor="text1" w:themeTint="D9"/></w:rPr></w:pPr><w:r><w:t>Síguenos en:Linkedin JOBA EventosFacebook JOBA EventosTwitter JOBA EventosGoogle + JOBA Eventos</w:t></w:r></w:p><w:p><w:pPr><w:ind w:left="-284" w:right="-427"/>	<w:jc w:val="both"/><w:rPr><w:rFonts/><w:color w:val="262626" w:themeColor="text1" w:themeTint="D9"/></w:rPr></w:pPr><w:r><w:t>Descárgate nuestro CATÁLOGO de los Servicios MICE  and  DMC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JOBA EVENTOS SL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MICE & DMC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615155780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https://www.notasdeprensa.es/la-comunidad-valenciana-espera-beneficios-del_2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Viaje Marketing Valencia Turismo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