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70% de los compradores busca compartir los gastos de su nueva vivienda con su pareja o familiares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los datos del último estudio de Casaktua.com, el 34% de los jóvenes que tiene previsto emanciparse en los próximos dos años lo hará comprándose una vivienda. Aprovechando que septiembre es el mes del inicio del curso escolar y el momento perfecto para plantearse nuevos propósitos y retos, Casaktua.com ha lanzado una campaña dirigida a este público compuesta por 4.300 viviendas distribuidas por todo el territorio nacional y con una hipoteca media de 230 € al mes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últimos datos del barómetro Eurostat muestran que la edad promedio de emancipación en España es de 29 años, es decir, tres años más tarde que la media europea. Según el Observatorio de Emancipación del Consejo de la Juventud, solo el 20% de las personas de entre 16 y 29 años disfruta de independencia económica fuera del hogar familiar y, en el IV Estudio de Casaktua.com, únicamente el 34% de los jóvenes que tiene previsto mudarse en los próximos dos años lo hará comprándose una vivienda.</w:t>
            </w:r>
          </w:p>
          <w:p>
            <w:pPr>
              <w:ind w:left="-284" w:right="-427"/>
              <w:jc w:val="both"/>
              <w:rPr>
                <w:rFonts/>
                <w:color w:val="262626" w:themeColor="text1" w:themeTint="D9"/>
              </w:rPr>
            </w:pPr>
            <w:r>
              <w:t>Independizarse es un proceso que requiere disponer de la solvencia financiera suficiente para afrontar el alquiler o la hipoteca, así como el resto de los costes de la vivienda. De ahí que la mayoría busque convivir y compartir gastos con la pareja (44%), familiares (3%) o amigos (13%). En el caso de los que compran una vivienda, hacerlo con la pareja toma mayor protagonismo hasta el 64% y los familiares suben hasta el 5%.</w:t>
            </w:r>
          </w:p>
          <w:p>
            <w:pPr>
              <w:ind w:left="-284" w:right="-427"/>
              <w:jc w:val="both"/>
              <w:rPr>
                <w:rFonts/>
                <w:color w:val="262626" w:themeColor="text1" w:themeTint="D9"/>
              </w:rPr>
            </w:pPr>
            <w:r>
              <w:t>En general, el presupuesto mensual que destina un propietario a afrontar todos los gastos de la vivienda (hipoteca, comunidad, energía, telecomunicaciones, agua, basuras, etc.) es de 819€ (incluyendo los gastos anuales del seguro del hogar, IBI y reformas); siendo los suministros de energía (101€/mes, de media) el mayor desembolso, detrás de la hipoteca.</w:t>
            </w:r>
          </w:p>
          <w:p>
            <w:pPr>
              <w:ind w:left="-284" w:right="-427"/>
              <w:jc w:val="both"/>
              <w:rPr>
                <w:rFonts/>
                <w:color w:val="262626" w:themeColor="text1" w:themeTint="D9"/>
              </w:rPr>
            </w:pPr>
            <w:r>
              <w:t>Aprovechando que septiembre es el mes del inicio del curso escolar y el momento perfecto para plantearse nuevos propósitos y retos, Casaktua.com ha lanzado una campaña compuesta por 4.300 viviendas distribuidas por todo el territorio nacional y con una hipoteca media de 230 € al mes. Se trata de una cuantía que puede permitir a los futuros compradores asumir todos los gastos y emanciparse.</w:t>
            </w:r>
          </w:p>
          <w:p>
            <w:pPr>
              <w:ind w:left="-284" w:right="-427"/>
              <w:jc w:val="both"/>
              <w:rPr>
                <w:rFonts/>
                <w:color w:val="262626" w:themeColor="text1" w:themeTint="D9"/>
              </w:rPr>
            </w:pPr>
            <w:r>
              <w:t>Los inmuebles seleccionados, pisos principalmente, tienen un precio medio de 65.000 €, una superficie media de 103 m2, tres dormitorios de promedio y están distribuidos, principalmente, por Andalucía (1.100 viviendas), Comunidad Valenciana (700), Cataluña (500), Castilla-La Mancha (450), Aragón (350), Castilla y León (300), Región de Murcia (230), Galicia (150), La Rioja (100) y Principado de Asturias (80).</w:t>
            </w:r>
          </w:p>
          <w:p>
            <w:pPr>
              <w:ind w:left="-284" w:right="-427"/>
              <w:jc w:val="both"/>
              <w:rPr>
                <w:rFonts/>
                <w:color w:val="262626" w:themeColor="text1" w:themeTint="D9"/>
              </w:rPr>
            </w:pPr>
            <w:r>
              <w:t>Así, por ejemplo, se puede encontrar un piso en Sevilla capital de 94 m2 y 3 habitaciones a 65.000 €; otro inmueble de 59.850 €, de 71 m2 y 3 dormitorios en Valencia ciudad u otra vivienda en Zaragoza capital de 61 m2 y 3 habitaciones a 60.000 €.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https://www.notasdeprensa.es/el-70-de-los-compradores-busca-compartir-los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